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0608" w14:textId="77777777" w:rsidR="00F261E3" w:rsidRDefault="00F261E3" w:rsidP="00F261E3">
      <w:pPr>
        <w:pStyle w:val="a3"/>
        <w:kinsoku w:val="0"/>
        <w:overflowPunct w:val="0"/>
        <w:spacing w:before="25"/>
        <w:ind w:left="2368" w:right="2362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参与标准制定报名表</w:t>
      </w:r>
    </w:p>
    <w:p w14:paraId="6C5527C9" w14:textId="77777777" w:rsidR="00F261E3" w:rsidRDefault="00F261E3" w:rsidP="00F261E3">
      <w:pPr>
        <w:pStyle w:val="a3"/>
        <w:kinsoku w:val="0"/>
        <w:overflowPunct w:val="0"/>
        <w:adjustRightInd w:val="0"/>
        <w:snapToGrid w:val="0"/>
        <w:spacing w:line="480" w:lineRule="auto"/>
        <w:ind w:left="2368" w:right="2362"/>
        <w:jc w:val="center"/>
        <w:rPr>
          <w:rFonts w:ascii="黑体" w:eastAsia="黑体" w:cs="黑体"/>
          <w:sz w:val="36"/>
          <w:szCs w:val="36"/>
        </w:rPr>
      </w:pPr>
    </w:p>
    <w:p w14:paraId="19E443C8" w14:textId="77777777" w:rsidR="00F261E3" w:rsidRDefault="00F261E3" w:rsidP="00F261E3">
      <w:pPr>
        <w:pStyle w:val="a3"/>
        <w:tabs>
          <w:tab w:val="left" w:pos="2805"/>
          <w:tab w:val="left" w:pos="4204"/>
          <w:tab w:val="left" w:pos="4624"/>
          <w:tab w:val="left" w:pos="5325"/>
          <w:tab w:val="left" w:pos="8545"/>
        </w:tabs>
        <w:kinsoku w:val="0"/>
        <w:overflowPunct w:val="0"/>
        <w:adjustRightInd w:val="0"/>
        <w:snapToGrid w:val="0"/>
        <w:spacing w:line="480" w:lineRule="auto"/>
        <w:ind w:right="135" w:firstLineChars="200" w:firstLine="560"/>
        <w:rPr>
          <w:rFonts w:ascii="仿宋_GB2312" w:eastAsia="仿宋_GB2312"/>
          <w:spacing w:val="-3"/>
          <w:sz w:val="28"/>
          <w:szCs w:val="28"/>
          <w:u w:val="single" w:color="000000"/>
        </w:rPr>
      </w:pPr>
      <w:r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pacing w:val="-3"/>
          <w:sz w:val="28"/>
          <w:szCs w:val="28"/>
        </w:rPr>
        <w:t>位</w:t>
      </w:r>
      <w:r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  <w:r>
        <w:rPr>
          <w:rFonts w:ascii="仿宋_GB2312" w:eastAsia="仿宋_GB2312" w:hint="eastAsia"/>
          <w:spacing w:val="-3"/>
          <w:sz w:val="28"/>
          <w:szCs w:val="28"/>
          <w:u w:val="single" w:color="000000"/>
        </w:rPr>
        <w:t xml:space="preserve">                                    </w:t>
      </w:r>
    </w:p>
    <w:p w14:paraId="65090993" w14:textId="77777777" w:rsidR="00F261E3" w:rsidRDefault="00F261E3" w:rsidP="00F261E3">
      <w:pPr>
        <w:pStyle w:val="a3"/>
        <w:tabs>
          <w:tab w:val="left" w:pos="2805"/>
          <w:tab w:val="left" w:pos="4204"/>
          <w:tab w:val="left" w:pos="4624"/>
          <w:tab w:val="left" w:pos="5325"/>
          <w:tab w:val="left" w:pos="8830"/>
        </w:tabs>
        <w:kinsoku w:val="0"/>
        <w:overflowPunct w:val="0"/>
        <w:adjustRightInd w:val="0"/>
        <w:snapToGrid w:val="0"/>
        <w:spacing w:line="480" w:lineRule="auto"/>
        <w:ind w:right="135" w:firstLineChars="200" w:firstLine="560"/>
        <w:rPr>
          <w:rFonts w:ascii="仿宋_GB2312" w:eastAsia="仿宋_GB2312"/>
          <w:sz w:val="28"/>
          <w:szCs w:val="28"/>
          <w:u w:val="single" w:color="000000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参</w:t>
      </w:r>
      <w:r>
        <w:rPr>
          <w:rFonts w:ascii="仿宋_GB2312" w:eastAsia="仿宋_GB2312" w:hint="eastAsia"/>
          <w:spacing w:val="-3"/>
          <w:sz w:val="28"/>
          <w:szCs w:val="28"/>
        </w:rPr>
        <w:t>编</w:t>
      </w:r>
      <w:r>
        <w:rPr>
          <w:rFonts w:ascii="仿宋_GB2312" w:eastAsia="仿宋_GB2312" w:hint="eastAsia"/>
          <w:sz w:val="28"/>
          <w:szCs w:val="28"/>
        </w:rPr>
        <w:t>人姓</w:t>
      </w:r>
      <w:r>
        <w:rPr>
          <w:rFonts w:ascii="仿宋_GB2312" w:eastAsia="仿宋_GB2312" w:hint="eastAsia"/>
          <w:spacing w:val="-3"/>
          <w:sz w:val="28"/>
          <w:szCs w:val="28"/>
        </w:rPr>
        <w:t>名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000000"/>
        </w:rPr>
        <w:tab/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2"/>
          <w:sz w:val="28"/>
          <w:szCs w:val="28"/>
        </w:rPr>
        <w:t>职</w:t>
      </w:r>
      <w:r>
        <w:rPr>
          <w:rFonts w:ascii="仿宋_GB2312" w:eastAsia="仿宋_GB2312" w:hint="eastAsia"/>
          <w:spacing w:val="-3"/>
          <w:sz w:val="28"/>
          <w:szCs w:val="28"/>
        </w:rPr>
        <w:t>务</w:t>
      </w:r>
      <w:r>
        <w:rPr>
          <w:rFonts w:ascii="仿宋_GB2312" w:eastAsia="仿宋_GB2312" w:hint="eastAsia"/>
          <w:spacing w:val="-1"/>
          <w:sz w:val="28"/>
          <w:szCs w:val="28"/>
        </w:rPr>
        <w:t>/职</w:t>
      </w:r>
      <w:r>
        <w:rPr>
          <w:rFonts w:ascii="仿宋_GB2312" w:eastAsia="仿宋_GB2312" w:hint="eastAsia"/>
          <w:spacing w:val="-3"/>
          <w:sz w:val="28"/>
          <w:szCs w:val="28"/>
        </w:rPr>
        <w:t>称</w:t>
      </w:r>
      <w:r>
        <w:rPr>
          <w:rFonts w:ascii="仿宋_GB2312" w:eastAsia="仿宋_GB2312" w:hint="eastAsia"/>
          <w:spacing w:val="-1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          </w:t>
      </w:r>
    </w:p>
    <w:p w14:paraId="26C135E7" w14:textId="77777777" w:rsidR="00F261E3" w:rsidRDefault="00F261E3" w:rsidP="00F261E3">
      <w:pPr>
        <w:pStyle w:val="a3"/>
        <w:tabs>
          <w:tab w:val="left" w:pos="2805"/>
          <w:tab w:val="left" w:pos="4204"/>
          <w:tab w:val="left" w:pos="4624"/>
          <w:tab w:val="left" w:pos="5890"/>
          <w:tab w:val="left" w:pos="8931"/>
        </w:tabs>
        <w:kinsoku w:val="0"/>
        <w:overflowPunct w:val="0"/>
        <w:adjustRightInd w:val="0"/>
        <w:snapToGrid w:val="0"/>
        <w:spacing w:line="480" w:lineRule="auto"/>
        <w:ind w:right="136"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pacing w:val="-3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000000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手</w:t>
      </w:r>
      <w:r>
        <w:rPr>
          <w:rFonts w:ascii="仿宋_GB2312" w:eastAsia="仿宋_GB2312" w:hint="eastAsia"/>
          <w:spacing w:val="-3"/>
          <w:sz w:val="28"/>
          <w:szCs w:val="28"/>
        </w:rPr>
        <w:t>机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1"/>
          <w:sz w:val="28"/>
          <w:szCs w:val="28"/>
        </w:rPr>
        <w:t>邮</w:t>
      </w:r>
      <w:r>
        <w:rPr>
          <w:rFonts w:ascii="仿宋_GB2312" w:eastAsia="仿宋_GB2312" w:hint="eastAsia"/>
          <w:spacing w:val="-3"/>
          <w:sz w:val="28"/>
          <w:szCs w:val="28"/>
        </w:rPr>
        <w:t>箱</w:t>
      </w:r>
      <w:r>
        <w:rPr>
          <w:rFonts w:ascii="仿宋_GB2312" w:eastAsia="仿宋_GB2312" w:hint="eastAsia"/>
          <w:spacing w:val="-1"/>
          <w:sz w:val="28"/>
          <w:szCs w:val="28"/>
        </w:rPr>
        <w:t>：</w:t>
      </w:r>
      <w:r>
        <w:rPr>
          <w:rFonts w:ascii="仿宋_GB2312" w:eastAsia="仿宋_GB2312" w:cs="Times New Roman" w:hint="eastAsia"/>
          <w:sz w:val="28"/>
          <w:szCs w:val="28"/>
          <w:u w:val="single" w:color="000000"/>
        </w:rPr>
        <w:t xml:space="preserve">          </w:t>
      </w:r>
    </w:p>
    <w:tbl>
      <w:tblPr>
        <w:tblW w:w="8387" w:type="dxa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5103"/>
        <w:gridCol w:w="1418"/>
      </w:tblGrid>
      <w:tr w:rsidR="00F261E3" w14:paraId="1A774D70" w14:textId="77777777" w:rsidTr="009407F0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F2A" w14:textId="77777777" w:rsidR="00F261E3" w:rsidRDefault="00F261E3" w:rsidP="009407F0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202" w:right="19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CCB4" w14:textId="77777777" w:rsidR="00F261E3" w:rsidRDefault="00F261E3" w:rsidP="009407F0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适用范围和主要技术内容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531" w14:textId="77777777" w:rsidR="00F261E3" w:rsidRDefault="00F261E3" w:rsidP="009407F0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134" w:right="127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标准类别</w:t>
            </w:r>
          </w:p>
        </w:tc>
      </w:tr>
      <w:tr w:rsidR="00F261E3" w14:paraId="0D4B943F" w14:textId="77777777" w:rsidTr="009407F0">
        <w:trPr>
          <w:trHeight w:val="113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3D9" w14:textId="77777777" w:rsidR="00F261E3" w:rsidRDefault="00F261E3" w:rsidP="009407F0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Chars="100" w:left="210" w:right="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民用清洁采暖装置控制器技术规范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495" w14:textId="77777777" w:rsidR="00F261E3" w:rsidRDefault="00F261E3" w:rsidP="009407F0">
            <w:pPr>
              <w:widowControl/>
              <w:autoSpaceDE w:val="0"/>
              <w:autoSpaceDN w:val="0"/>
              <w:adjustRightInd w:val="0"/>
              <w:snapToGrid w:val="0"/>
              <w:ind w:leftChars="100" w:left="210" w:rightChars="131" w:right="275"/>
              <w:jc w:val="left"/>
              <w:rPr>
                <w:rFonts w:ascii="仿宋_GB2312" w:eastAsia="仿宋_GB2312" w:hAnsi="Times New Roman" w:cs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sz w:val="28"/>
                <w:szCs w:val="28"/>
              </w:rPr>
              <w:t>本标准适用于清洁采暖炉具、小型生物质锅炉等采暖系统相配套的自动控制器的设计、制造和验收。清洁炊事烤火炉具、民用清洁暖风壁炉、民用清洁热水壁炉的控制器可参照执行。</w:t>
            </w:r>
          </w:p>
          <w:p w14:paraId="77619F91" w14:textId="77777777" w:rsidR="00F261E3" w:rsidRDefault="00F261E3" w:rsidP="009407F0">
            <w:pPr>
              <w:widowControl/>
              <w:autoSpaceDE w:val="0"/>
              <w:autoSpaceDN w:val="0"/>
              <w:adjustRightInd w:val="0"/>
              <w:snapToGrid w:val="0"/>
              <w:ind w:leftChars="100" w:left="210" w:rightChars="131" w:right="27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sz w:val="28"/>
                <w:szCs w:val="28"/>
              </w:rPr>
              <w:t>本标准规定了民用清洁采暖装置控制器的术语和定义、技术要求、试验方法、检验规则、标识、随机文件、包装、储运、安装和使用条件。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7CE7" w14:textId="77777777" w:rsidR="00F261E3" w:rsidRDefault="00F261E3" w:rsidP="009407F0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134" w:right="1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</w:tc>
      </w:tr>
    </w:tbl>
    <w:p w14:paraId="2782DEC6" w14:textId="77777777" w:rsidR="00F261E3" w:rsidRDefault="00F261E3" w:rsidP="00F261E3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eastAsia="宋体" w:hAnsi="宋体"/>
          <w:szCs w:val="21"/>
        </w:rPr>
      </w:pPr>
      <w:r>
        <w:rPr>
          <w:rFonts w:ascii="仿宋_GB2312" w:eastAsia="仿宋_GB2312" w:hint="eastAsia"/>
          <w:sz w:val="28"/>
          <w:szCs w:val="28"/>
        </w:rPr>
        <w:t>请按要求填写发至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hyperlink r:id="rId4" w:history="1">
        <w:r>
          <w:rPr>
            <w:rFonts w:ascii="Times New Roman" w:cs="Times New Roman"/>
            <w:sz w:val="24"/>
            <w:szCs w:val="24"/>
          </w:rPr>
          <w:t>chinaluju@126.com</w:t>
        </w:r>
      </w:hyperlink>
    </w:p>
    <w:p w14:paraId="58579F27" w14:textId="77777777" w:rsidR="00F261E3" w:rsidRPr="00F261E3" w:rsidRDefault="00F261E3"/>
    <w:sectPr w:rsidR="00F261E3" w:rsidRPr="00F2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3"/>
    <w:rsid w:val="0057090B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F899"/>
  <w15:chartTrackingRefBased/>
  <w15:docId w15:val="{11C272F8-48E9-4162-AC92-2349BB1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61E3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F261E3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26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aluj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2023-03-29T12:34:00Z</dcterms:created>
  <dcterms:modified xsi:type="dcterms:W3CDTF">2023-03-29T12:34:00Z</dcterms:modified>
</cp:coreProperties>
</file>