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520" w:lineRule="exact"/>
        <w:ind w:left="-424" w:leftChars="-202" w:right="-340" w:rightChars="-162"/>
        <w:jc w:val="center"/>
        <w:rPr>
          <w:rFonts w:hint="eastAsia" w:ascii="Times New Roman" w:hAnsi="Times New Roman" w:eastAsia="黑体" w:cs="Times New Roman"/>
          <w:sz w:val="32"/>
          <w:szCs w:val="32"/>
          <w:lang w:val="zh-CN"/>
        </w:rPr>
      </w:pPr>
    </w:p>
    <w:p>
      <w:pPr>
        <w:adjustRightInd w:val="0"/>
        <w:snapToGrid w:val="0"/>
        <w:spacing w:before="156" w:beforeLines="50" w:line="520" w:lineRule="exact"/>
        <w:ind w:left="-424" w:leftChars="-202" w:right="-340" w:rightChars="-162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“</w:t>
      </w:r>
      <w:r>
        <w:rPr>
          <w:rFonts w:hint="eastAsia" w:ascii="Times New Roman" w:hAnsi="Times New Roman" w:eastAsia="黑体" w:cs="Times New Roman"/>
          <w:sz w:val="32"/>
          <w:szCs w:val="32"/>
        </w:rPr>
        <w:t>农村能源碳达峰技术应用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黑体" w:cs="Times New Roman"/>
          <w:sz w:val="32"/>
          <w:szCs w:val="32"/>
        </w:rPr>
        <w:t>清洁取暖解决方案”</w:t>
      </w:r>
    </w:p>
    <w:p>
      <w:pPr>
        <w:adjustRightInd w:val="0"/>
        <w:snapToGrid w:val="0"/>
        <w:spacing w:before="156" w:beforeLines="50" w:line="520" w:lineRule="exact"/>
        <w:ind w:left="-424" w:leftChars="-202" w:right="-340" w:rightChars="-162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行业成果主题展示</w:t>
      </w:r>
      <w:r>
        <w:rPr>
          <w:rFonts w:ascii="Times New Roman" w:hAnsi="Times New Roman" w:eastAsia="黑体" w:cs="Times New Roman"/>
          <w:sz w:val="32"/>
          <w:szCs w:val="32"/>
        </w:rPr>
        <w:t>征集通知</w:t>
      </w:r>
    </w:p>
    <w:p>
      <w:pPr>
        <w:adjustRightInd w:val="0"/>
        <w:snapToGrid w:val="0"/>
        <w:spacing w:before="312" w:beforeLines="100" w:after="156" w:afterLines="50" w:line="560" w:lineRule="exact"/>
        <w:rPr>
          <w:rFonts w:ascii="华文仿宋" w:hAnsi="华文仿宋" w:eastAsia="华文仿宋" w:cs="Times New Roman"/>
          <w:b/>
          <w:bCs/>
          <w:sz w:val="30"/>
          <w:szCs w:val="30"/>
        </w:rPr>
      </w:pPr>
      <w:r>
        <w:rPr>
          <w:rFonts w:ascii="华文仿宋" w:hAnsi="华文仿宋" w:eastAsia="华文仿宋" w:cs="Times New Roman"/>
          <w:b/>
          <w:bCs/>
          <w:sz w:val="30"/>
          <w:szCs w:val="30"/>
        </w:rPr>
        <w:t>各相关单位：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为贯彻落实国家“碳达峰十大行动”，积极开展农村能源节能降碳行动，中国农村能源低碳发展大会暨第15届农村能源与清洁取暖（供热）博览会特设立“农村能源碳达峰技术应用</w:t>
      </w:r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与</w:t>
      </w:r>
      <w:r>
        <w:rPr>
          <w:rFonts w:hint="eastAsia" w:ascii="华文仿宋" w:hAnsi="华文仿宋" w:eastAsia="华文仿宋" w:cs="Times New Roman"/>
          <w:sz w:val="30"/>
          <w:szCs w:val="30"/>
        </w:rPr>
        <w:t>清洁取暖解决方案”行业成果主题展区。征集农村能源节能降碳技术及应用、农村清洁取暖和城乡清洁供热解决方案、地方和行业发展成果进行集中展示。通过展示发掘行业亮点，推介成果案例，充分发挥标杆引领作用，为各地推进节能降碳技术应用和清洁取暖技术选型、项目实施等提供可借鉴的经验、可复制的模式，促进农村生活生产用能低碳转型和清洁取暖可持续发展，助力2030年农村能源碳达峰目标实现。</w:t>
      </w:r>
    </w:p>
    <w:p>
      <w:pPr>
        <w:adjustRightInd w:val="0"/>
        <w:snapToGrid w:val="0"/>
        <w:spacing w:line="560" w:lineRule="exact"/>
        <w:rPr>
          <w:rFonts w:ascii="华文仿宋" w:hAnsi="华文仿宋" w:eastAsia="华文仿宋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jc w:val="right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第15届暖博会组委会</w:t>
      </w:r>
    </w:p>
    <w:p>
      <w:pPr>
        <w:adjustRightInd w:val="0"/>
        <w:snapToGrid w:val="0"/>
        <w:spacing w:line="560" w:lineRule="exact"/>
        <w:ind w:firstLine="600" w:firstLineChars="200"/>
        <w:jc w:val="right"/>
        <w:rPr>
          <w:rFonts w:ascii="华文仿宋" w:hAnsi="华文仿宋" w:eastAsia="华文仿宋" w:cs="Times New Roman"/>
          <w:sz w:val="30"/>
          <w:szCs w:val="30"/>
        </w:rPr>
      </w:pPr>
      <w:r>
        <w:rPr>
          <w:rFonts w:ascii="华文仿宋" w:hAnsi="华文仿宋" w:eastAsia="华文仿宋" w:cs="Times New Roman"/>
          <w:sz w:val="30"/>
          <w:szCs w:val="30"/>
        </w:rPr>
        <w:t>2021年11月</w:t>
      </w:r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8</w:t>
      </w:r>
      <w:r>
        <w:rPr>
          <w:rFonts w:ascii="华文仿宋" w:hAnsi="华文仿宋" w:eastAsia="华文仿宋" w:cs="Times New Roman"/>
          <w:sz w:val="30"/>
          <w:szCs w:val="30"/>
        </w:rPr>
        <w:t>日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华文仿宋" w:hAnsi="华文仿宋" w:eastAsia="华文仿宋" w:cs="Times New Roman"/>
          <w:b/>
          <w:bCs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bCs/>
          <w:sz w:val="30"/>
          <w:szCs w:val="30"/>
        </w:rPr>
        <w:t>附件：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1、征集方案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2、申报表</w:t>
      </w:r>
      <w:r>
        <w:rPr>
          <w:rFonts w:ascii="仿宋_GB2312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spacing w:after="156" w:afterLines="50" w:line="420" w:lineRule="exact"/>
        <w:rPr>
          <w:rFonts w:cs="Times New Roman" w:asciiTheme="minorEastAsia" w:hAnsiTheme="minorEastAsia"/>
          <w:b/>
          <w:bCs/>
          <w:sz w:val="24"/>
          <w:szCs w:val="24"/>
        </w:rPr>
      </w:pPr>
      <w:r>
        <w:rPr>
          <w:rFonts w:hint="eastAsia" w:cs="Times New Roman" w:asciiTheme="minorEastAsia" w:hAnsiTheme="minorEastAsia"/>
          <w:b/>
          <w:bCs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“农村能源碳达峰技术应用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与</w:t>
      </w:r>
      <w:r>
        <w:rPr>
          <w:rFonts w:hint="eastAsia" w:ascii="Times New Roman" w:hAnsi="Times New Roman" w:eastAsia="黑体" w:cs="Times New Roman"/>
          <w:sz w:val="30"/>
          <w:szCs w:val="30"/>
        </w:rPr>
        <w:t>清洁取暖解决方案”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行业成果主题展示</w:t>
      </w:r>
      <w:r>
        <w:rPr>
          <w:rFonts w:ascii="Times New Roman" w:hAnsi="Times New Roman" w:eastAsia="黑体" w:cs="Times New Roman"/>
          <w:sz w:val="30"/>
          <w:szCs w:val="30"/>
        </w:rPr>
        <w:t>征集</w:t>
      </w:r>
      <w:r>
        <w:rPr>
          <w:rFonts w:hint="eastAsia" w:ascii="Times New Roman" w:hAnsi="Times New Roman" w:eastAsia="黑体" w:cs="Times New Roman"/>
          <w:sz w:val="30"/>
          <w:szCs w:val="30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cs="Times New Roman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推动农村能源低碳转型，对于落实我国“双碳”目标意义重大。设立“农村能源碳达峰技术应用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与</w:t>
      </w:r>
      <w:r>
        <w:rPr>
          <w:rFonts w:hint="eastAsia" w:cs="仿宋" w:asciiTheme="minorEastAsia" w:hAnsiTheme="minorEastAsia"/>
          <w:sz w:val="24"/>
          <w:szCs w:val="24"/>
        </w:rPr>
        <w:t>清洁取暖解决方案”行业成果主题展区，系统总结、遴选和推荐一批具有代表性、对行业和企业具有较强借鉴意义和推广价值的优秀技术成果、解决方案和成功案例，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通过行业大平台对新技术、新产品、新模式和新成果进行集中展示推荐，助力企业</w:t>
      </w:r>
      <w:r>
        <w:rPr>
          <w:rFonts w:hint="eastAsia" w:cs="仿宋" w:asciiTheme="minorEastAsia" w:hAnsiTheme="minorEastAsia"/>
          <w:sz w:val="24"/>
          <w:szCs w:val="24"/>
        </w:rPr>
        <w:t>扩大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品牌知名度，通过场景化</w:t>
      </w:r>
      <w:r>
        <w:rPr>
          <w:rFonts w:hint="eastAsia" w:cs="仿宋" w:asciiTheme="minorEastAsia" w:hAnsiTheme="minorEastAsia"/>
          <w:sz w:val="24"/>
          <w:szCs w:val="24"/>
        </w:rPr>
        <w:t>精准营销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提升成交转化率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抢占</w:t>
      </w:r>
      <w:r>
        <w:rPr>
          <w:rFonts w:hint="eastAsia" w:cs="仿宋" w:asciiTheme="minorEastAsia" w:hAnsiTheme="minorEastAsia"/>
          <w:sz w:val="24"/>
          <w:szCs w:val="24"/>
        </w:rPr>
        <w:t>市场发展先机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/>
          <w:sz w:val="24"/>
          <w:szCs w:val="24"/>
        </w:rPr>
        <w:t>赢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的</w:t>
      </w:r>
      <w:r>
        <w:rPr>
          <w:rFonts w:hint="eastAsia" w:cs="仿宋" w:asciiTheme="minorEastAsia" w:hAnsiTheme="minorEastAsia"/>
          <w:sz w:val="24"/>
          <w:szCs w:val="24"/>
        </w:rPr>
        <w:t>“蓝海”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市场</w:t>
      </w:r>
      <w:r>
        <w:rPr>
          <w:rFonts w:hint="eastAsia" w:cs="仿宋" w:asciiTheme="minorEastAsia" w:hAnsiTheme="minorEastAsia"/>
          <w:sz w:val="24"/>
          <w:szCs w:val="24"/>
        </w:rPr>
        <w:t>，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为</w:t>
      </w:r>
      <w:r>
        <w:rPr>
          <w:rFonts w:hint="eastAsia" w:cs="仿宋" w:asciiTheme="minorEastAsia" w:hAnsiTheme="minorEastAsia"/>
          <w:sz w:val="24"/>
          <w:szCs w:val="24"/>
        </w:rPr>
        <w:t>农村能源碳达峰技术应用和清洁取暖可持续发展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贡献力量</w:t>
      </w:r>
      <w:r>
        <w:rPr>
          <w:rFonts w:hint="eastAsia" w:cs="仿宋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firstLine="482" w:firstLineChars="200"/>
        <w:textAlignment w:val="auto"/>
        <w:rPr>
          <w:rFonts w:cs="Times New Roman" w:asciiTheme="minorEastAsia" w:hAnsiTheme="minorEastAsia"/>
          <w:b/>
          <w:bCs/>
          <w:sz w:val="24"/>
          <w:szCs w:val="24"/>
        </w:rPr>
      </w:pPr>
      <w:r>
        <w:rPr>
          <w:rFonts w:hint="eastAsia" w:cs="Times New Roman" w:asciiTheme="minorEastAsia" w:hAnsiTheme="minorEastAsia"/>
          <w:b/>
          <w:bCs/>
          <w:sz w:val="24"/>
          <w:szCs w:val="24"/>
        </w:rPr>
        <w:t>一、展示主题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 xml:space="preserve">2030碳达峰 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cs="仿宋" w:asciiTheme="minorEastAsia" w:hAnsiTheme="minorEastAsia"/>
          <w:sz w:val="24"/>
          <w:szCs w:val="24"/>
        </w:rPr>
        <w:t>我们在行动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二、展示内容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1、农村清洁取暖系统解决方案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征集展示因地制宜、多能互补的南、北方农村分散用户炊事取暖系统解决方案；运维服务解决方案等。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2、城乡清洁供热系统解决方案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征集展示城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市</w:t>
      </w:r>
      <w:r>
        <w:rPr>
          <w:rFonts w:hint="eastAsia" w:cs="仿宋" w:asciiTheme="minorEastAsia" w:hAnsiTheme="minorEastAsia"/>
          <w:sz w:val="24"/>
          <w:szCs w:val="24"/>
        </w:rPr>
        <w:t>热网覆盖不到的村镇社区、乡镇政府、学校、医院、敬老院、宾馆等场所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分布式</w:t>
      </w:r>
      <w:r>
        <w:rPr>
          <w:rFonts w:hint="eastAsia" w:cs="仿宋" w:asciiTheme="minorEastAsia" w:hAnsiTheme="minorEastAsia"/>
          <w:sz w:val="24"/>
          <w:szCs w:val="24"/>
        </w:rPr>
        <w:t>供暖系统解决方案；种植养殖、农产品烘干、工业生产等清洁供热系统解决方案。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3、农村能源节能降碳技术及应用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征集展示太阳能热利用、光伏、沼气和生物天然气、建筑节能、厕所改造、垃圾处理、污水处理等节能技术、设备及工程案例。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4、地方或行业成果、模式案例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征集展示清洁取暖发展模式、案例、项目成果，以及相关行业发展成果。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三、展示形式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1、图文、实物（产品）、应用场景、视频、沙盘、直播等形式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（</w:t>
      </w:r>
      <w:r>
        <w:rPr>
          <w:rFonts w:hint="default" w:cs="仿宋" w:asciiTheme="minorEastAsia" w:hAnsiTheme="minorEastAsia"/>
          <w:sz w:val="24"/>
          <w:szCs w:val="24"/>
        </w:rPr>
        <w:t>沙盘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、</w:t>
      </w:r>
      <w:r>
        <w:rPr>
          <w:rFonts w:hint="default" w:cs="仿宋" w:asciiTheme="minorEastAsia" w:hAnsiTheme="minorEastAsia"/>
          <w:sz w:val="24"/>
          <w:szCs w:val="24"/>
        </w:rPr>
        <w:t>模型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自备，并</w:t>
      </w:r>
      <w:r>
        <w:rPr>
          <w:rFonts w:hint="default" w:cs="仿宋" w:asciiTheme="minorEastAsia" w:hAnsiTheme="minorEastAsia"/>
          <w:sz w:val="24"/>
          <w:szCs w:val="24"/>
        </w:rPr>
        <w:t>提供规格、尺寸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cs="仿宋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2、以多种形式和手段融合，集成互动、沉浸式展示场景，进行展示推介。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233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展示类别</w:t>
            </w: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展示面积（m</w:t>
            </w:r>
            <w:r>
              <w:rPr>
                <w:rFonts w:hint="default" w:ascii="Times New Roman" w:hAnsi="Times New Roman" w:cs="Times New Roman"/>
                <w:b/>
                <w:bCs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</w:rPr>
              <w:t>）</w:t>
            </w:r>
          </w:p>
        </w:tc>
        <w:tc>
          <w:tcPr>
            <w:tcW w:w="4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展示方式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图文展示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展板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</w:rPr>
              <w:t>展示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展板+产品（1台）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系统展示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展板+系统集成1套/沙盘/模型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</w:rPr>
              <w:t>）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系统集成展示产品原则上不超过4台（含4台），特殊情况另行安排；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</w:rPr>
              <w:t>）宣传视频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为</w:t>
            </w:r>
            <w:r>
              <w:rPr>
                <w:rFonts w:hint="default" w:ascii="Times New Roman" w:hAnsi="Times New Roman" w:cs="Times New Roman"/>
                <w:b/>
                <w:bCs/>
              </w:rPr>
              <w:t>时长3分钟的mp4文件（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现场</w:t>
            </w:r>
            <w:r>
              <w:rPr>
                <w:rFonts w:hint="default" w:ascii="Times New Roman" w:hAnsi="Times New Roman" w:cs="Times New Roman"/>
                <w:b/>
                <w:bCs/>
              </w:rPr>
              <w:t>统一轮播）。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四、征集要求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（一）征集对象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企业、项目运营单位、地方政府部门及机构。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（二）申报条件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1、充分体现农村能源节能降碳发展理念。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农村清洁取暖、城乡清洁供热系统解决方案应充分体现因地制宜，项目成功运营1年以上，取暖供热效果好、可靠性强、投资运行成本合理，用户可承受，具有可持续性；农村能源节能降碳技术及应用类有创新性、先进性、实用性、环保性，具有示范意义和推广前景；行业及地方项目成果易复制，有示范性、推广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（三）提供资料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1、相关的图片、文字、视频或项目演示沙盘、模型等；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2、填写征集申报表，将相关资料发至</w:t>
      </w:r>
      <w:r>
        <w:fldChar w:fldCharType="begin"/>
      </w:r>
      <w:r>
        <w:instrText xml:space="preserve"> HYPERLINK "mailto:chinaluju@126.com"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chinaluju@126.com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（四）征集时间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2021年12月31日截止。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五、实施流程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1、公开征集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面向社会公开征集。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2、专家评审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组织专家评审资料，遴选出符合要求的内容集成展示。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3、抽样调研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组织专家、工作人员抽样调研（电话调研或实地考察）。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4、展示推介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主题展区由组委会统一进行规划、设计、搭建（产品、模型、沙盘、视频等展示物品由参展单位自备）；各参展单位根据需求选择相应的展示方式，组委会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对符合</w:t>
      </w:r>
      <w:r>
        <w:rPr>
          <w:rFonts w:hint="eastAsia" w:cs="仿宋" w:asciiTheme="minorEastAsia" w:hAnsiTheme="minorEastAsia"/>
          <w:sz w:val="24"/>
          <w:szCs w:val="24"/>
        </w:rPr>
        <w:t>遴选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要求的参展单位及</w:t>
      </w:r>
      <w:r>
        <w:rPr>
          <w:rFonts w:hint="eastAsia" w:cs="仿宋" w:asciiTheme="minorEastAsia" w:hAnsiTheme="minorEastAsia"/>
          <w:sz w:val="24"/>
          <w:szCs w:val="24"/>
        </w:rPr>
        <w:t>产品进行展示、交流、推介。</w:t>
      </w:r>
    </w:p>
    <w:p>
      <w:pPr>
        <w:adjustRightInd w:val="0"/>
        <w:snapToGrid w:val="0"/>
        <w:spacing w:line="420" w:lineRule="exact"/>
        <w:ind w:firstLine="482" w:firstLineChars="200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六、展示费用</w:t>
      </w:r>
    </w:p>
    <w:p>
      <w:pPr>
        <w:adjustRightInd w:val="0"/>
        <w:snapToGrid w:val="0"/>
        <w:spacing w:line="420" w:lineRule="exact"/>
        <w:ind w:firstLine="480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1、征集、评审、调研、考察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等</w:t>
      </w:r>
      <w:r>
        <w:rPr>
          <w:rFonts w:hint="eastAsia" w:cs="仿宋" w:asciiTheme="minorEastAsia" w:hAnsiTheme="minorEastAsia"/>
          <w:sz w:val="24"/>
          <w:szCs w:val="24"/>
        </w:rPr>
        <w:t>均不收费；</w:t>
      </w:r>
    </w:p>
    <w:p>
      <w:pPr>
        <w:adjustRightInd w:val="0"/>
        <w:snapToGrid w:val="0"/>
        <w:spacing w:after="156" w:afterLines="50" w:line="420" w:lineRule="exact"/>
        <w:ind w:firstLine="480" w:firstLineChars="200"/>
        <w:rPr>
          <w:rFonts w:hint="eastAsia"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现场</w:t>
      </w:r>
      <w:r>
        <w:rPr>
          <w:rFonts w:hint="eastAsia" w:cs="仿宋" w:asciiTheme="minorEastAsia" w:hAnsiTheme="minorEastAsia"/>
          <w:sz w:val="24"/>
          <w:szCs w:val="24"/>
        </w:rPr>
        <w:t>展示、推介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统一规划、设计、搭建，</w:t>
      </w:r>
      <w:r>
        <w:rPr>
          <w:rFonts w:hint="eastAsia" w:cs="仿宋" w:asciiTheme="minorEastAsia" w:hAnsiTheme="minorEastAsia"/>
          <w:sz w:val="24"/>
          <w:szCs w:val="24"/>
        </w:rPr>
        <w:t>费用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待定。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>、宣传推介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1、在暖博会网站和相关平台进行专项推介。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2、展示期间，邀请参会领导、专家、企业代表等参观。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3、展示期间，邀请经销商参观，并推介展区案例和产品。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4、暖博会“直播节”予以直播、推介。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cs="仿宋" w:asciiTheme="minorEastAsia" w:hAnsiTheme="minorEastAsia"/>
          <w:sz w:val="24"/>
          <w:szCs w:val="24"/>
        </w:rPr>
        <w:t>联系人：</w:t>
      </w:r>
      <w:r>
        <w:rPr>
          <w:rFonts w:hint="eastAsia" w:cs="仿宋" w:asciiTheme="minorEastAsia" w:hAnsiTheme="minorEastAsia"/>
          <w:sz w:val="24"/>
          <w:szCs w:val="24"/>
        </w:rPr>
        <w:t xml:space="preserve">武亭 </w:t>
      </w:r>
      <w:r>
        <w:rPr>
          <w:rFonts w:cs="仿宋" w:asciiTheme="minorEastAsia" w:hAnsiTheme="min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仿宋" w:asciiTheme="minorEastAsia" w:hAnsiTheme="minorEastAsia"/>
          <w:sz w:val="24"/>
          <w:szCs w:val="24"/>
        </w:rPr>
        <w:t>电话：</w:t>
      </w:r>
      <w:r>
        <w:rPr>
          <w:rFonts w:ascii="Times New Roman" w:hAnsi="Times New Roman" w:cs="Times New Roman"/>
          <w:sz w:val="24"/>
          <w:szCs w:val="24"/>
        </w:rPr>
        <w:t>010-65709281/1</w:t>
      </w:r>
      <w:r>
        <w:rPr>
          <w:rFonts w:hint="eastAsia" w:ascii="Times New Roman" w:hAnsi="Times New Roman" w:cs="Times New Roman"/>
          <w:sz w:val="24"/>
          <w:szCs w:val="24"/>
        </w:rPr>
        <w:t>5010795629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邮箱：</w:t>
      </w:r>
      <w:r>
        <w:fldChar w:fldCharType="begin"/>
      </w:r>
      <w:r>
        <w:instrText xml:space="preserve"> HYPERLINK "mailto:chinaluju@126.com"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chinaluju@126.com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cs="仿宋" w:asciiTheme="minorEastAsia" w:hAnsiTheme="minorEastAsia"/>
          <w:sz w:val="24"/>
          <w:szCs w:val="24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附件2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：</w:t>
      </w:r>
    </w:p>
    <w:p>
      <w:pPr>
        <w:widowControl/>
        <w:adjustRightInd w:val="0"/>
        <w:snapToGrid w:val="0"/>
        <w:spacing w:after="156" w:afterLines="50"/>
        <w:jc w:val="center"/>
        <w:rPr>
          <w:rFonts w:ascii="黑体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after="156" w:afterLines="50"/>
        <w:jc w:val="center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“农村能源碳达峰技术应用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与</w:t>
      </w:r>
      <w:r>
        <w:rPr>
          <w:rFonts w:hint="eastAsia" w:ascii="黑体" w:hAnsi="黑体" w:eastAsia="黑体" w:cs="Times New Roman"/>
          <w:sz w:val="30"/>
          <w:szCs w:val="30"/>
        </w:rPr>
        <w:t>清洁取暖解决方案”</w:t>
      </w:r>
    </w:p>
    <w:p>
      <w:pPr>
        <w:widowControl/>
        <w:adjustRightInd w:val="0"/>
        <w:snapToGrid w:val="0"/>
        <w:spacing w:after="156" w:afterLines="50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行业成果主题展区征集申报表</w:t>
      </w:r>
    </w:p>
    <w:tbl>
      <w:tblPr>
        <w:tblStyle w:val="2"/>
        <w:tblW w:w="9250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88"/>
        <w:gridCol w:w="709"/>
        <w:gridCol w:w="2268"/>
        <w:gridCol w:w="709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申报单位</w:t>
            </w: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联系人</w:t>
            </w:r>
          </w:p>
        </w:tc>
        <w:tc>
          <w:tcPr>
            <w:tcW w:w="1588" w:type="dxa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电话</w:t>
            </w: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62" w:beforeLines="20" w:after="62" w:afterLines="20"/>
              <w:ind w:left="-109" w:leftChars="-52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邮箱</w:t>
            </w:r>
          </w:p>
        </w:tc>
        <w:tc>
          <w:tcPr>
            <w:tcW w:w="2846" w:type="dxa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130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申报</w:t>
            </w:r>
            <w:r>
              <w:rPr>
                <w:rFonts w:ascii="Times New Roman" w:hAnsi="Times New Roman" w:eastAsia="宋体" w:cs="Times New Roman"/>
                <w:b/>
                <w:bCs/>
              </w:rPr>
              <w:t>类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>别</w:t>
            </w: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□ 农村清洁取暖解决方案（农户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 w:cs="Times New Roman"/>
              </w:rPr>
              <w:t>别墅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 w:cs="Times New Roman"/>
              </w:rPr>
              <w:t>商铺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等分散式取暖</w:t>
            </w:r>
            <w:r>
              <w:rPr>
                <w:rFonts w:hint="eastAsia" w:ascii="Times New Roman" w:hAnsi="Times New Roman" w:eastAsia="楷体_GB2312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130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□ 城乡</w:t>
            </w:r>
            <w:r>
              <w:rPr>
                <w:rFonts w:ascii="Times New Roman" w:hAnsi="Times New Roman" w:eastAsia="楷体_GB2312" w:cs="Times New Roman"/>
              </w:rPr>
              <w:t>清洁供热解决方案</w:t>
            </w:r>
            <w:r>
              <w:rPr>
                <w:rFonts w:hint="eastAsia" w:ascii="Times New Roman" w:hAnsi="Times New Roman" w:eastAsia="楷体_GB2312" w:cs="Times New Roman"/>
              </w:rPr>
              <w:t>（村镇社区、乡镇政府、学校、医院、敬老院、宾馆等场所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分布式</w:t>
            </w:r>
            <w:r>
              <w:rPr>
                <w:rFonts w:hint="eastAsia" w:ascii="Times New Roman" w:hAnsi="Times New Roman" w:eastAsia="楷体_GB2312" w:cs="Times New Roman"/>
              </w:rPr>
              <w:t>供暖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eastAsia="楷体_GB2312" w:cs="Times New Roman"/>
              </w:rPr>
              <w:t>种植养殖、农产品烘干、工业生产等清洁供热）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130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□ 农村能源节能降碳技术及应用（太阳能热利用/光伏/沼气和生物天然气/建筑节能/厕所改造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楷体_GB2312" w:cs="Times New Roman"/>
              </w:rPr>
              <w:t>垃圾处理/污水处理等）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0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□ </w:t>
            </w:r>
            <w:r>
              <w:rPr>
                <w:rFonts w:ascii="Times New Roman" w:hAnsi="Times New Roman" w:eastAsia="楷体_GB2312" w:cs="Times New Roman"/>
              </w:rPr>
              <w:t>行业</w:t>
            </w:r>
            <w:r>
              <w:rPr>
                <w:rFonts w:hint="eastAsia" w:ascii="Times New Roman" w:hAnsi="Times New Roman" w:eastAsia="楷体_GB2312" w:cs="Times New Roman"/>
              </w:rPr>
              <w:t>或</w:t>
            </w:r>
            <w:r>
              <w:rPr>
                <w:rFonts w:ascii="Times New Roman" w:hAnsi="Times New Roman" w:eastAsia="楷体_GB2312" w:cs="Times New Roman"/>
              </w:rPr>
              <w:t>地方成果</w:t>
            </w:r>
            <w:r>
              <w:rPr>
                <w:rFonts w:hint="eastAsia" w:ascii="Times New Roman" w:hAnsi="Times New Roman" w:eastAsia="楷体_GB2312" w:cs="Times New Roman"/>
              </w:rPr>
              <w:t>/</w:t>
            </w:r>
            <w:r>
              <w:rPr>
                <w:rFonts w:ascii="Times New Roman" w:hAnsi="Times New Roman" w:eastAsia="楷体_GB2312" w:cs="Times New Roman"/>
              </w:rPr>
              <w:t>模式案例</w:t>
            </w:r>
            <w:r>
              <w:rPr>
                <w:rFonts w:hint="eastAsia" w:ascii="Times New Roman" w:hAnsi="Times New Roman" w:eastAsia="楷体_GB2312" w:cs="Times New Roman"/>
              </w:rPr>
              <w:t>/解决方案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展示方式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□ 图文  </w:t>
            </w:r>
            <w:r>
              <w:rPr>
                <w:rFonts w:ascii="Times New Roman" w:hAnsi="Times New Roman" w:eastAsia="楷体_GB2312" w:cs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</w:rPr>
              <w:t xml:space="preserve">□ 视频 </w:t>
            </w:r>
            <w:r>
              <w:rPr>
                <w:rFonts w:ascii="Times New Roman" w:hAnsi="Times New Roman" w:eastAsia="楷体_GB2312" w:cs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</w:rPr>
              <w:t xml:space="preserve"> □ 产品 </w:t>
            </w:r>
            <w:r>
              <w:rPr>
                <w:rFonts w:ascii="Times New Roman" w:hAnsi="Times New Roman" w:eastAsia="楷体_GB2312" w:cs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</w:rPr>
              <w:t>□模型/沙盘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数量面积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产品数量</w:t>
            </w:r>
            <w:r>
              <w:rPr>
                <w:rFonts w:hint="eastAsia" w:ascii="Times New Roman" w:hAnsi="Times New Roman" w:eastAsia="楷体_GB2312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</w:rPr>
              <w:t xml:space="preserve">台 </w:t>
            </w:r>
            <w:r>
              <w:rPr>
                <w:rFonts w:ascii="Times New Roman" w:hAnsi="Times New Roman" w:eastAsia="楷体_GB2312" w:cs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</w:rPr>
              <w:t>所需面积</w:t>
            </w:r>
            <w:r>
              <w:rPr>
                <w:rFonts w:hint="eastAsia" w:ascii="Times New Roman" w:hAnsi="Times New Roman" w:eastAsia="楷体_GB2312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m</w:t>
            </w:r>
            <w:r>
              <w:rPr>
                <w:rFonts w:hint="eastAsia" w:ascii="Times New Roman" w:hAnsi="Times New Roman" w:eastAsia="楷体_GB2312" w:cs="Times New Roman"/>
                <w:vertAlign w:val="superscript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Times New Roman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项目名称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楷体_GB2312" w:hAnsi="Times New Roman" w:eastAsia="楷体_GB2312" w:cs="Times New Roman"/>
                <w:color w:val="767171" w:themeColor="background2" w:themeShade="80"/>
              </w:rPr>
            </w:pPr>
            <w:r>
              <w:rPr>
                <w:rFonts w:hint="eastAsia" w:ascii="Times New Roman" w:hAnsi="Times New Roman" w:eastAsia="楷体_GB2312" w:cs="Times New Roman"/>
              </w:rPr>
              <w:t>体现应用场景、解决方案、项目成果、技术应用核心。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项目简介</w:t>
            </w: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rPr>
                <w:rFonts w:ascii="楷体_GB2312" w:hAnsi="Times New Roman" w:eastAsia="楷体_GB2312" w:cs="Times New Roman"/>
                <w:color w:val="767171" w:themeColor="background2" w:themeShade="80"/>
              </w:rPr>
            </w:pPr>
            <w:r>
              <w:rPr>
                <w:rFonts w:hint="eastAsia" w:ascii="Times New Roman" w:hAnsi="Times New Roman" w:eastAsia="楷体_GB2312" w:cs="Times New Roman"/>
              </w:rPr>
              <w:t>解决方案/项目案例简述。（500字）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技术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>路线</w:t>
            </w: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rPr>
                <w:rFonts w:ascii="楷体_GB2312" w:hAnsi="Times New Roman" w:eastAsia="楷体_GB2312" w:cs="Times New Roman"/>
                <w:color w:val="767171" w:themeColor="background2" w:themeShade="80"/>
              </w:rPr>
            </w:pPr>
            <w:r>
              <w:rPr>
                <w:rFonts w:hint="eastAsia" w:ascii="Times New Roman" w:hAnsi="Times New Roman" w:eastAsia="楷体_GB2312" w:cs="Times New Roman"/>
              </w:rPr>
              <w:t>简述技术方案内容及特点、建设和运营模式、综合效益。（500字）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推广应用</w:t>
            </w:r>
          </w:p>
        </w:tc>
        <w:tc>
          <w:tcPr>
            <w:tcW w:w="8120" w:type="dxa"/>
            <w:gridSpan w:val="5"/>
          </w:tcPr>
          <w:p>
            <w:pPr>
              <w:adjustRightInd w:val="0"/>
              <w:snapToGrid w:val="0"/>
              <w:rPr>
                <w:rFonts w:ascii="楷体_GB2312" w:hAnsi="Times New Roman" w:eastAsia="楷体_GB2312" w:cs="Times New Roman"/>
                <w:color w:val="767171" w:themeColor="background2" w:themeShade="80"/>
              </w:rPr>
            </w:pPr>
            <w:r>
              <w:rPr>
                <w:rFonts w:hint="eastAsia" w:ascii="Times New Roman" w:hAnsi="Times New Roman" w:eastAsia="楷体_GB2312" w:cs="Times New Roman"/>
              </w:rPr>
              <w:t>适宜推广区域，推广需要具备的条件、注意事项等。（300字）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附件提供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ascii="Times New Roman" w:hAnsi="Times New Roman" w:eastAsia="楷体_GB2312" w:cs="Times New Roman"/>
              </w:rPr>
              <w:t xml:space="preserve"> 单独提供案例、产品、用户场景等高清图片（文件＞2M），并编号、附文字说明。</w:t>
            </w:r>
            <w:r>
              <w:rPr>
                <w:rFonts w:ascii="Times New Roman" w:hAnsi="Times New Roman" w:eastAsia="楷体_GB2312" w:cs="Times New Roman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ascii="Times New Roman" w:hAnsi="Times New Roman" w:eastAsia="楷体_GB2312" w:cs="Times New Roman"/>
              </w:rPr>
              <w:t xml:space="preserve"> 如有现成解决方案及应用案例文件，请单独提供电子版。</w:t>
            </w:r>
          </w:p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宋体" w:hAnsi="宋体" w:eastAsia="宋体" w:cs="宋体"/>
              </w:rPr>
              <w:t>③</w:t>
            </w:r>
            <w:r>
              <w:rPr>
                <w:rFonts w:ascii="Times New Roman" w:hAnsi="Times New Roman" w:eastAsia="楷体_GB2312" w:cs="Times New Roman"/>
              </w:rPr>
              <w:t xml:space="preserve"> 相关视频提供mp4格式。</w:t>
            </w:r>
          </w:p>
          <w:p>
            <w:pPr>
              <w:adjustRightInd w:val="0"/>
              <w:snapToGrid w:val="0"/>
              <w:spacing w:after="62" w:afterLines="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④</w:t>
            </w:r>
            <w:r>
              <w:rPr>
                <w:rFonts w:ascii="Times New Roman" w:hAnsi="Times New Roman" w:eastAsia="楷体_GB2312" w:cs="Times New Roman"/>
              </w:rPr>
              <w:t xml:space="preserve"> 提供案例产品的性能及环保测试报告。</w:t>
            </w:r>
          </w:p>
        </w:tc>
      </w:tr>
    </w:tbl>
    <w:p>
      <w:pPr>
        <w:adjustRightInd w:val="0"/>
        <w:snapToGrid w:val="0"/>
        <w:spacing w:before="93" w:beforeLines="30"/>
      </w:pPr>
      <w:r>
        <w:rPr>
          <w:rFonts w:ascii="Times New Roman" w:hAnsi="Times New Roman" w:cs="Times New Roman"/>
        </w:rPr>
        <w:t>联系人：</w:t>
      </w:r>
      <w:r>
        <w:rPr>
          <w:rFonts w:hint="eastAsia" w:ascii="Times New Roman" w:hAnsi="Times New Roman" w:cs="Times New Roman"/>
        </w:rPr>
        <w:t>武亭</w:t>
      </w:r>
      <w:r>
        <w:rPr>
          <w:rFonts w:ascii="Times New Roman" w:hAnsi="Times New Roman" w:cs="Times New Roman"/>
        </w:rPr>
        <w:t xml:space="preserve">  电话：010-65709281/1</w:t>
      </w:r>
      <w:r>
        <w:rPr>
          <w:rFonts w:hint="eastAsia" w:ascii="Times New Roman" w:hAnsi="Times New Roman" w:cs="Times New Roman"/>
        </w:rPr>
        <w:t>5010795629</w:t>
      </w:r>
      <w:r>
        <w:rPr>
          <w:rFonts w:ascii="Times New Roman" w:hAnsi="Times New Roman" w:cs="Times New Roman"/>
        </w:rPr>
        <w:t xml:space="preserve">  发送邮箱：</w:t>
      </w:r>
      <w:r>
        <w:fldChar w:fldCharType="begin"/>
      </w:r>
      <w:r>
        <w:instrText xml:space="preserve"> HYPERLINK "mailto:chinaluju@126.com" </w:instrText>
      </w:r>
      <w:r>
        <w:fldChar w:fldCharType="separate"/>
      </w:r>
      <w:r>
        <w:rPr>
          <w:rFonts w:ascii="Times New Roman" w:hAnsi="Times New Roman" w:cs="Times New Roman"/>
        </w:rPr>
        <w:t>chinaluju@126.com</w:t>
      </w:r>
      <w:r>
        <w:rPr>
          <w:rFonts w:ascii="Times New Roman" w:hAnsi="Times New Roman" w:cs="Times New Roma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35EF8"/>
    <w:rsid w:val="0A4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2021-11-08T02:39:00Z</dcterms:created>
  <dc:creator>王浩@中国炉具网</dc:creator>
  <cp:lastModifiedBy>王浩@中国炉具网</cp:lastModifiedBy>
  <dcterms:modified xsi:type="dcterms:W3CDTF">2021-11-08T03:09:39Z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62EAC4B43881458C9299AF3D69D0630E</vt:lpwstr>
  </property>
</Properties>
</file>