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0A4" w:rsidRDefault="003F5191">
      <w:pPr>
        <w:spacing w:line="600" w:lineRule="exact"/>
        <w:jc w:val="center"/>
        <w:rPr>
          <w:rFonts w:ascii="方正小标宋_GBK" w:eastAsia="方正小标宋_GBK"/>
          <w:kern w:val="0"/>
          <w:sz w:val="28"/>
          <w:szCs w:val="28"/>
        </w:rPr>
      </w:pPr>
      <w:hyperlink r:id="rId6" w:history="1">
        <w:r w:rsidRPr="00117286">
          <w:rPr>
            <w:rStyle w:val="aa"/>
            <w:rFonts w:ascii="方正小标宋_GBK" w:eastAsia="方正小标宋_GBK"/>
            <w:kern w:val="0"/>
            <w:sz w:val="28"/>
            <w:szCs w:val="28"/>
          </w:rPr>
          <w:t>http://zfxxgk.nea.gov.cn/2023-04/23/c_1310714999.htm</w:t>
        </w:r>
      </w:hyperlink>
    </w:p>
    <w:p w:rsidR="003F5191" w:rsidRPr="003F5191" w:rsidRDefault="003F5191">
      <w:pPr>
        <w:spacing w:line="600" w:lineRule="exact"/>
        <w:jc w:val="center"/>
        <w:rPr>
          <w:rFonts w:ascii="方正小标宋_GBK" w:eastAsia="方正小标宋_GBK"/>
          <w:kern w:val="0"/>
          <w:sz w:val="28"/>
          <w:szCs w:val="28"/>
        </w:rPr>
      </w:pPr>
    </w:p>
    <w:p w:rsidR="00A030A4" w:rsidRDefault="002A22B0">
      <w:pPr>
        <w:spacing w:line="600" w:lineRule="exact"/>
        <w:jc w:val="center"/>
        <w:outlineLvl w:val="0"/>
        <w:rPr>
          <w:rFonts w:ascii="方正小标宋_GBK" w:eastAsia="方正小标宋_GBK"/>
          <w:kern w:val="0"/>
          <w:sz w:val="44"/>
          <w:szCs w:val="44"/>
        </w:rPr>
      </w:pPr>
      <w:bookmarkStart w:id="0" w:name="_GoBack"/>
      <w:r>
        <w:rPr>
          <w:rFonts w:ascii="方正小标宋_GBK" w:eastAsia="方正小标宋_GBK" w:hint="eastAsia"/>
          <w:kern w:val="0"/>
          <w:sz w:val="44"/>
          <w:szCs w:val="44"/>
        </w:rPr>
        <w:t>国家能源局</w:t>
      </w:r>
      <w:r>
        <w:rPr>
          <w:rFonts w:ascii="方正小标宋_GBK" w:eastAsia="方正小标宋_GBK" w:hint="eastAsia"/>
          <w:kern w:val="0"/>
          <w:sz w:val="44"/>
          <w:szCs w:val="44"/>
        </w:rPr>
        <w:t>2023</w:t>
      </w:r>
      <w:r>
        <w:rPr>
          <w:rFonts w:ascii="方正小标宋_GBK" w:eastAsia="方正小标宋_GBK" w:hint="eastAsia"/>
          <w:kern w:val="0"/>
          <w:sz w:val="44"/>
          <w:szCs w:val="44"/>
        </w:rPr>
        <w:t>年乡村振兴定点帮扶和</w:t>
      </w:r>
    </w:p>
    <w:p w:rsidR="00A030A4" w:rsidRDefault="002A22B0">
      <w:pPr>
        <w:spacing w:line="600" w:lineRule="exact"/>
        <w:jc w:val="center"/>
        <w:outlineLvl w:val="0"/>
        <w:rPr>
          <w:rFonts w:ascii="方正小标宋_GBK" w:eastAsia="方正小标宋_GBK"/>
          <w:kern w:val="0"/>
          <w:szCs w:val="32"/>
        </w:rPr>
      </w:pPr>
      <w:r>
        <w:rPr>
          <w:rFonts w:ascii="方正小标宋_GBK" w:eastAsia="方正小标宋_GBK" w:hint="eastAsia"/>
          <w:kern w:val="0"/>
          <w:sz w:val="44"/>
          <w:szCs w:val="44"/>
        </w:rPr>
        <w:t>对口支援工作要点</w:t>
      </w:r>
    </w:p>
    <w:bookmarkEnd w:id="0"/>
    <w:p w:rsidR="00A030A4" w:rsidRDefault="00A030A4">
      <w:pPr>
        <w:spacing w:line="600" w:lineRule="exact"/>
        <w:jc w:val="center"/>
        <w:rPr>
          <w:rFonts w:eastAsia="方正仿宋_GBK"/>
          <w:kern w:val="0"/>
          <w:szCs w:val="32"/>
        </w:rPr>
      </w:pPr>
    </w:p>
    <w:p w:rsidR="00A030A4" w:rsidRDefault="002A22B0">
      <w:pPr>
        <w:spacing w:line="600" w:lineRule="exact"/>
        <w:ind w:left="1" w:firstLineChars="200" w:firstLine="640"/>
        <w:textAlignment w:val="bottom"/>
        <w:rPr>
          <w:kern w:val="0"/>
          <w:szCs w:val="32"/>
        </w:rPr>
      </w:pPr>
      <w:r>
        <w:rPr>
          <w:rFonts w:hint="eastAsia"/>
          <w:kern w:val="0"/>
          <w:szCs w:val="32"/>
        </w:rPr>
        <w:t>坚持以习近平新时代中国特色社会主义思想为指导，全面贯彻落实党的二十大精神，深入落实党中央关于全面推进乡村振兴部署要求，立足定点帮扶和对口支援县实际，围绕“五大振兴”，发挥职能优势，进一步拓展帮扶领域，健全帮扶机制，优化帮扶方式，助力通渭、清水、信丰三县高质量巩固拓展脱贫攻坚成果，全面推进乡村振兴。</w:t>
      </w:r>
    </w:p>
    <w:p w:rsidR="00A030A4" w:rsidRDefault="002A22B0">
      <w:pPr>
        <w:spacing w:line="600" w:lineRule="exact"/>
        <w:ind w:firstLineChars="200" w:firstLine="640"/>
        <w:rPr>
          <w:rFonts w:eastAsia="方正黑体_GBK"/>
          <w:kern w:val="0"/>
          <w:szCs w:val="32"/>
        </w:rPr>
      </w:pPr>
      <w:r>
        <w:rPr>
          <w:rFonts w:eastAsia="方正黑体_GBK"/>
          <w:szCs w:val="32"/>
        </w:rPr>
        <w:t>一、</w:t>
      </w:r>
      <w:r>
        <w:rPr>
          <w:rFonts w:eastAsia="方正黑体_GBK" w:hint="eastAsia"/>
          <w:szCs w:val="32"/>
        </w:rPr>
        <w:t>巩固提升能源基础设施建设</w:t>
      </w:r>
    </w:p>
    <w:p w:rsidR="00A030A4" w:rsidRDefault="002A22B0">
      <w:pPr>
        <w:spacing w:line="600" w:lineRule="exact"/>
        <w:ind w:firstLineChars="200" w:firstLine="643"/>
        <w:rPr>
          <w:szCs w:val="32"/>
        </w:rPr>
      </w:pPr>
      <w:r>
        <w:rPr>
          <w:rFonts w:hAnsi="楷体_GB2312" w:cs="楷体_GB2312" w:hint="eastAsia"/>
          <w:b/>
          <w:bCs/>
          <w:szCs w:val="32"/>
        </w:rPr>
        <w:t>（一）巩固</w:t>
      </w:r>
      <w:r>
        <w:rPr>
          <w:rFonts w:hAnsi="方正楷体_GBK" w:cs="方正楷体_GBK" w:hint="eastAsia"/>
          <w:b/>
          <w:bCs/>
          <w:szCs w:val="32"/>
        </w:rPr>
        <w:t>提升供电保障能力</w:t>
      </w:r>
      <w:r>
        <w:rPr>
          <w:rFonts w:hint="eastAsia"/>
          <w:szCs w:val="32"/>
        </w:rPr>
        <w:t>。支持通渭</w:t>
      </w:r>
      <w:r>
        <w:rPr>
          <w:rFonts w:hint="eastAsia"/>
          <w:szCs w:val="32"/>
        </w:rPr>
        <w:t>50</w:t>
      </w:r>
      <w:r>
        <w:rPr>
          <w:rFonts w:hint="eastAsia"/>
          <w:szCs w:val="32"/>
        </w:rPr>
        <w:t>兆瓦</w:t>
      </w:r>
      <w:r>
        <w:rPr>
          <w:rFonts w:hint="eastAsia"/>
          <w:szCs w:val="32"/>
        </w:rPr>
        <w:t>/200</w:t>
      </w:r>
      <w:r>
        <w:rPr>
          <w:rFonts w:hint="eastAsia"/>
          <w:szCs w:val="32"/>
        </w:rPr>
        <w:t>兆瓦时电网侧共享储能电站创新示范项目、清水县工业园区外部供电工程、信丰高铁</w:t>
      </w:r>
      <w:r>
        <w:rPr>
          <w:rFonts w:hint="eastAsia"/>
          <w:szCs w:val="32"/>
        </w:rPr>
        <w:t>110</w:t>
      </w:r>
      <w:r>
        <w:rPr>
          <w:rFonts w:hint="eastAsia"/>
          <w:szCs w:val="32"/>
        </w:rPr>
        <w:t>千伏输变电工程等重点工程建设。持续推动三县农村电网巩固提升工程，增强输配电能力，支持乡村产业用电需求，</w:t>
      </w:r>
      <w:r>
        <w:rPr>
          <w:rFonts w:hint="eastAsia"/>
          <w:kern w:val="0"/>
          <w:szCs w:val="32"/>
        </w:rPr>
        <w:t>提升农村分布式可再生能源接入能力</w:t>
      </w:r>
      <w:r>
        <w:rPr>
          <w:rFonts w:hint="eastAsia"/>
          <w:szCs w:val="32"/>
        </w:rPr>
        <w:t>。推动通渭、清水县省级配农网示范县、“获得电力”服务水平样板工程建设，巩固提升信丰县全国小康用电示范县成果。〔电力司、新能源司、监管司，华中能源监管局、甘肃能源监管办</w:t>
      </w:r>
      <w:r>
        <w:rPr>
          <w:rFonts w:hAnsi="方正仿宋_GBK" w:cs="方正仿宋_GBK" w:hint="eastAsia"/>
          <w:szCs w:val="32"/>
        </w:rPr>
        <w:t>〕</w:t>
      </w:r>
    </w:p>
    <w:p w:rsidR="00A030A4" w:rsidRDefault="002A22B0">
      <w:pPr>
        <w:spacing w:line="600" w:lineRule="exact"/>
        <w:ind w:firstLineChars="200" w:firstLine="643"/>
        <w:rPr>
          <w:szCs w:val="32"/>
        </w:rPr>
      </w:pPr>
      <w:r>
        <w:rPr>
          <w:rFonts w:hAnsi="方正楷体_GBK" w:cs="方正楷体_GBK" w:hint="eastAsia"/>
          <w:b/>
          <w:bCs/>
          <w:szCs w:val="32"/>
        </w:rPr>
        <w:t>（二）协助稳定信丰电厂煤炭供应</w:t>
      </w:r>
      <w:r>
        <w:rPr>
          <w:rFonts w:hint="eastAsia"/>
          <w:szCs w:val="32"/>
        </w:rPr>
        <w:t>。协助信丰电厂拓展煤炭</w:t>
      </w:r>
      <w:r>
        <w:rPr>
          <w:rFonts w:hint="eastAsia"/>
          <w:szCs w:val="32"/>
        </w:rPr>
        <w:lastRenderedPageBreak/>
        <w:t>来源，稳定煤炭供应，推动建设资源综合利用项目。指导</w:t>
      </w:r>
      <w:r>
        <w:rPr>
          <w:rFonts w:hint="eastAsia"/>
          <w:szCs w:val="32"/>
        </w:rPr>
        <w:t>信丰电厂二期项目有序依规开展前期工作。</w:t>
      </w:r>
      <w:r>
        <w:rPr>
          <w:rFonts w:hAnsi="方正仿宋_GBK" w:cs="方正仿宋_GBK" w:hint="eastAsia"/>
          <w:szCs w:val="32"/>
        </w:rPr>
        <w:t>〔科技司、电力司、煤炭司，华中能源监管局〕</w:t>
      </w:r>
    </w:p>
    <w:p w:rsidR="00A030A4" w:rsidRDefault="002A22B0">
      <w:pPr>
        <w:spacing w:line="600" w:lineRule="exact"/>
        <w:ind w:firstLineChars="200" w:firstLine="640"/>
        <w:rPr>
          <w:rFonts w:eastAsia="方正黑体_GBK"/>
          <w:kern w:val="0"/>
          <w:szCs w:val="32"/>
        </w:rPr>
      </w:pPr>
      <w:r>
        <w:rPr>
          <w:rFonts w:eastAsia="方正黑体_GBK" w:hint="eastAsia"/>
          <w:szCs w:val="32"/>
        </w:rPr>
        <w:t>二</w:t>
      </w:r>
      <w:r>
        <w:rPr>
          <w:rFonts w:eastAsia="方正黑体_GBK"/>
          <w:szCs w:val="32"/>
        </w:rPr>
        <w:t>、</w:t>
      </w:r>
      <w:r>
        <w:rPr>
          <w:rFonts w:eastAsia="方正黑体_GBK" w:hint="eastAsia"/>
          <w:szCs w:val="32"/>
        </w:rPr>
        <w:t>持续壮大产业发展</w:t>
      </w:r>
    </w:p>
    <w:p w:rsidR="00A030A4" w:rsidRDefault="002A22B0">
      <w:pPr>
        <w:spacing w:line="600" w:lineRule="exact"/>
        <w:ind w:firstLineChars="200" w:firstLine="643"/>
        <w:rPr>
          <w:szCs w:val="32"/>
        </w:rPr>
      </w:pPr>
      <w:r>
        <w:rPr>
          <w:rFonts w:hAnsi="方正楷体_GBK" w:cs="方正楷体_GBK" w:hint="eastAsia"/>
          <w:b/>
          <w:bCs/>
          <w:szCs w:val="32"/>
        </w:rPr>
        <w:t>（三）加快推动风电项目建设</w:t>
      </w:r>
      <w:r>
        <w:rPr>
          <w:rFonts w:hint="eastAsia"/>
          <w:szCs w:val="32"/>
        </w:rPr>
        <w:t>。加快推动通渭寺子川</w:t>
      </w:r>
      <w:r>
        <w:rPr>
          <w:rFonts w:hint="eastAsia"/>
          <w:szCs w:val="32"/>
        </w:rPr>
        <w:t>10</w:t>
      </w:r>
      <w:r>
        <w:rPr>
          <w:rFonts w:hint="eastAsia"/>
          <w:szCs w:val="32"/>
        </w:rPr>
        <w:t>万千瓦风电项目、清水</w:t>
      </w:r>
      <w:r>
        <w:rPr>
          <w:rFonts w:hint="eastAsia"/>
          <w:szCs w:val="32"/>
        </w:rPr>
        <w:t>5</w:t>
      </w:r>
      <w:r>
        <w:rPr>
          <w:rFonts w:hint="eastAsia"/>
          <w:szCs w:val="32"/>
        </w:rPr>
        <w:t>万千瓦风储一体化项目建设，力争年内建成并网。指导三县开展集中式风电、分散式风电新建项目开发论证。</w:t>
      </w:r>
      <w:r>
        <w:rPr>
          <w:rFonts w:hAnsi="方正仿宋_GBK" w:cs="方正仿宋_GBK" w:hint="eastAsia"/>
          <w:szCs w:val="32"/>
        </w:rPr>
        <w:t>〔新能源司、电力司、安全司〕</w:t>
      </w:r>
    </w:p>
    <w:p w:rsidR="00A030A4" w:rsidRDefault="002A22B0">
      <w:pPr>
        <w:spacing w:line="600" w:lineRule="exact"/>
        <w:ind w:firstLineChars="200" w:firstLine="643"/>
        <w:rPr>
          <w:szCs w:val="32"/>
        </w:rPr>
      </w:pPr>
      <w:r>
        <w:rPr>
          <w:rFonts w:hAnsi="方正楷体_GBK" w:cs="方正楷体_GBK" w:hint="eastAsia"/>
          <w:b/>
          <w:bCs/>
          <w:szCs w:val="32"/>
        </w:rPr>
        <w:t>（四）持续扩大光伏建设规模</w:t>
      </w:r>
      <w:r>
        <w:rPr>
          <w:rFonts w:hint="eastAsia"/>
          <w:szCs w:val="32"/>
        </w:rPr>
        <w:t>。推动通渭马营</w:t>
      </w:r>
      <w:r>
        <w:rPr>
          <w:rFonts w:hint="eastAsia"/>
          <w:szCs w:val="32"/>
        </w:rPr>
        <w:t>10</w:t>
      </w:r>
      <w:r>
        <w:rPr>
          <w:rFonts w:hint="eastAsia"/>
          <w:szCs w:val="32"/>
        </w:rPr>
        <w:t>万千瓦光伏、</w:t>
      </w:r>
      <w:r>
        <w:rPr>
          <w:rFonts w:hAnsi="仿宋_GB2312" w:hint="eastAsia"/>
          <w:szCs w:val="32"/>
        </w:rPr>
        <w:t>清水黄门</w:t>
      </w:r>
      <w:r>
        <w:rPr>
          <w:rFonts w:hAnsi="仿宋_GB2312" w:hint="eastAsia"/>
          <w:szCs w:val="32"/>
        </w:rPr>
        <w:t>10</w:t>
      </w:r>
      <w:r>
        <w:rPr>
          <w:rFonts w:hAnsi="仿宋_GB2312" w:hint="eastAsia"/>
          <w:szCs w:val="32"/>
        </w:rPr>
        <w:t>万千瓦农光储一体化项目建设，</w:t>
      </w:r>
      <w:r>
        <w:rPr>
          <w:rFonts w:hint="eastAsia"/>
          <w:szCs w:val="32"/>
        </w:rPr>
        <w:t>确保年内建成并网。指导</w:t>
      </w:r>
      <w:r>
        <w:rPr>
          <w:rFonts w:hAnsi="仿宋_GB2312" w:cs="仿宋_GB2312" w:hint="eastAsia"/>
          <w:szCs w:val="32"/>
        </w:rPr>
        <w:t>信丰光伏项目开发建设</w:t>
      </w:r>
      <w:r>
        <w:rPr>
          <w:rFonts w:hint="eastAsia"/>
          <w:szCs w:val="32"/>
        </w:rPr>
        <w:t>。加快推进三县整县屋顶分布式光伏开发试点建设。</w:t>
      </w:r>
      <w:r>
        <w:rPr>
          <w:rFonts w:hAnsi="方正仿宋_GBK" w:cs="方正仿宋_GBK" w:hint="eastAsia"/>
          <w:szCs w:val="32"/>
        </w:rPr>
        <w:t>〔新能源司、电力司，华中能</w:t>
      </w:r>
      <w:r>
        <w:rPr>
          <w:rFonts w:hAnsi="方正仿宋_GBK" w:cs="方正仿宋_GBK" w:hint="eastAsia"/>
          <w:szCs w:val="32"/>
        </w:rPr>
        <w:t>源监管局、甘肃能源监管办〕</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（五）有序推动抽水蓄能项目研究论证和规划建设</w:t>
      </w:r>
      <w:r>
        <w:rPr>
          <w:rFonts w:hint="eastAsia"/>
          <w:szCs w:val="32"/>
        </w:rPr>
        <w:t>。协调甘肃省主管部门督促项目单位加快清水</w:t>
      </w:r>
      <w:r>
        <w:rPr>
          <w:rFonts w:hAnsi="仿宋_GB2312" w:hint="eastAsia"/>
          <w:szCs w:val="32"/>
        </w:rPr>
        <w:t>抽水蓄能电站项目建设。协调</w:t>
      </w:r>
      <w:r>
        <w:rPr>
          <w:rFonts w:hint="eastAsia"/>
          <w:szCs w:val="32"/>
        </w:rPr>
        <w:t>信丰抽水蓄能项目研究论证，在条件成熟的前提下，滚动列入重点实施项目</w:t>
      </w:r>
      <w:r>
        <w:rPr>
          <w:rFonts w:hAnsi="仿宋_GB2312" w:hint="eastAsia"/>
          <w:szCs w:val="32"/>
        </w:rPr>
        <w:t>。</w:t>
      </w:r>
      <w:r>
        <w:rPr>
          <w:rFonts w:hAnsi="方正仿宋_GBK" w:cs="方正仿宋_GBK" w:hint="eastAsia"/>
          <w:szCs w:val="32"/>
        </w:rPr>
        <w:t>〔新能源司〕</w:t>
      </w:r>
    </w:p>
    <w:p w:rsidR="00A030A4" w:rsidRDefault="002A22B0">
      <w:pPr>
        <w:spacing w:line="600" w:lineRule="exact"/>
        <w:ind w:firstLineChars="200" w:firstLine="643"/>
        <w:rPr>
          <w:szCs w:val="32"/>
        </w:rPr>
      </w:pPr>
      <w:r>
        <w:rPr>
          <w:rFonts w:hAnsi="方正楷体_GBK" w:cs="方正楷体_GBK" w:hint="eastAsia"/>
          <w:b/>
          <w:bCs/>
          <w:szCs w:val="32"/>
        </w:rPr>
        <w:t>（六）继续推动生物质供暖项目建设</w:t>
      </w:r>
      <w:r>
        <w:rPr>
          <w:rFonts w:hint="eastAsia"/>
          <w:szCs w:val="32"/>
        </w:rPr>
        <w:t>。继续推动通渭在生物质资源丰富的中心村、易地扶贫搬迁安置点建设生物质供暖项目，探索生物质资源开发利用新模式。</w:t>
      </w:r>
      <w:r>
        <w:rPr>
          <w:rFonts w:hAnsi="方正仿宋_GBK" w:cs="方正仿宋_GBK" w:hint="eastAsia"/>
          <w:szCs w:val="32"/>
        </w:rPr>
        <w:t>〔新能源司〕</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（七）探索清洁能源综合利用</w:t>
      </w:r>
      <w:r>
        <w:rPr>
          <w:rFonts w:hint="eastAsia"/>
          <w:szCs w:val="32"/>
        </w:rPr>
        <w:t>。立足通渭、清水县资源禀赋，</w:t>
      </w:r>
      <w:r>
        <w:rPr>
          <w:rFonts w:hint="eastAsia"/>
          <w:szCs w:val="32"/>
        </w:rPr>
        <w:lastRenderedPageBreak/>
        <w:t>组织开展能源综合开发利用方案研究，探索能源转型发展新模式。协调支持通渭乡村振兴产业融合共建示范园项目建设，指导清水打造陇东南清洁能源示范区。支持通渭县四新光伏扶贫电站板下农业种植，积极探索“农光互补”发展新模式。</w:t>
      </w:r>
      <w:r>
        <w:rPr>
          <w:rFonts w:hAnsi="方正仿宋_GBK" w:cs="方正仿宋_GBK" w:hint="eastAsia"/>
          <w:szCs w:val="32"/>
        </w:rPr>
        <w:t>〔规划司、新能源司〕</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（八）加强产学研合作</w:t>
      </w:r>
      <w:r>
        <w:rPr>
          <w:rFonts w:hint="eastAsia"/>
          <w:szCs w:val="32"/>
        </w:rPr>
        <w:t>。继续指导通渭县与中国农业科学院饲料研究所合作建设西北草畜与中药材产业实验站，开展光伏农业、技术推广、专家库建设等工作。</w:t>
      </w:r>
      <w:r>
        <w:rPr>
          <w:rFonts w:hAnsi="方正仿宋_GBK" w:cs="方正仿宋_GBK" w:hint="eastAsia"/>
          <w:szCs w:val="32"/>
        </w:rPr>
        <w:t>〔规划司〕</w:t>
      </w:r>
    </w:p>
    <w:p w:rsidR="00A030A4" w:rsidRDefault="002A22B0">
      <w:pPr>
        <w:spacing w:line="600" w:lineRule="exact"/>
        <w:ind w:firstLineChars="200" w:firstLine="640"/>
        <w:rPr>
          <w:rFonts w:eastAsia="方正黑体_GBK"/>
          <w:szCs w:val="32"/>
        </w:rPr>
      </w:pPr>
      <w:r>
        <w:rPr>
          <w:rFonts w:eastAsia="方正黑体_GBK" w:hint="eastAsia"/>
          <w:szCs w:val="32"/>
        </w:rPr>
        <w:t>三、持续推动志智双扶</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（九）组织专题培训</w:t>
      </w:r>
      <w:r>
        <w:rPr>
          <w:rFonts w:hint="eastAsia"/>
          <w:szCs w:val="32"/>
        </w:rPr>
        <w:t>。结合三县乡村振兴发展需要，采用多种形式，组织专家、学者为</w:t>
      </w:r>
      <w:r>
        <w:rPr>
          <w:rFonts w:hint="eastAsia"/>
          <w:szCs w:val="32"/>
        </w:rPr>
        <w:t>基层干部、致富带头人授课培训。</w:t>
      </w:r>
      <w:r>
        <w:rPr>
          <w:rFonts w:hAnsi="方正仿宋_GBK" w:cs="方正仿宋_GBK" w:hint="eastAsia"/>
          <w:szCs w:val="32"/>
        </w:rPr>
        <w:t>〔规划司，局内各单位参与〕</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（十）推动教育就业帮扶</w:t>
      </w:r>
      <w:r>
        <w:rPr>
          <w:rFonts w:hint="eastAsia"/>
          <w:szCs w:val="32"/>
        </w:rPr>
        <w:t>。协调在通渭、清水县施工的能源企业优先在本地招用劳动力，开展必要的技能培训。协调企业优先招聘通渭、清水县应届大学生。</w:t>
      </w:r>
      <w:r>
        <w:rPr>
          <w:rFonts w:hAnsi="方正仿宋_GBK" w:cs="方正仿宋_GBK" w:hint="eastAsia"/>
          <w:szCs w:val="32"/>
        </w:rPr>
        <w:t>〔规划司、核电司，核电中心，局内各单位参与〕</w:t>
      </w:r>
    </w:p>
    <w:p w:rsidR="00A030A4" w:rsidRDefault="002A22B0">
      <w:pPr>
        <w:spacing w:line="600" w:lineRule="exact"/>
        <w:ind w:firstLineChars="200" w:firstLine="643"/>
        <w:rPr>
          <w:szCs w:val="32"/>
        </w:rPr>
      </w:pPr>
      <w:r>
        <w:rPr>
          <w:rFonts w:hAnsi="方正楷体_GBK" w:cs="方正楷体_GBK" w:hint="eastAsia"/>
          <w:b/>
          <w:bCs/>
          <w:szCs w:val="32"/>
        </w:rPr>
        <w:t>（十一）助力基础教育</w:t>
      </w:r>
      <w:r>
        <w:rPr>
          <w:rFonts w:hint="eastAsia"/>
          <w:szCs w:val="32"/>
        </w:rPr>
        <w:t>。组织全局干部捐助低收入家庭学生。视工作实际需要，组织青年干部开展支教活动。协调企业、公益组织和爱心人士开展各类助学活动。</w:t>
      </w:r>
      <w:r>
        <w:rPr>
          <w:rFonts w:hAnsi="方正仿宋_GBK" w:cs="方正仿宋_GBK" w:hint="eastAsia"/>
          <w:szCs w:val="32"/>
        </w:rPr>
        <w:t>〔机关团委，各单位〕</w:t>
      </w:r>
    </w:p>
    <w:p w:rsidR="00A030A4" w:rsidRDefault="002A22B0">
      <w:pPr>
        <w:spacing w:line="600" w:lineRule="exact"/>
        <w:ind w:firstLineChars="200" w:firstLine="640"/>
        <w:rPr>
          <w:rFonts w:eastAsia="方正黑体_GBK"/>
          <w:kern w:val="0"/>
          <w:szCs w:val="32"/>
        </w:rPr>
      </w:pPr>
      <w:r>
        <w:rPr>
          <w:rFonts w:eastAsia="方正黑体_GBK" w:hint="eastAsia"/>
          <w:szCs w:val="32"/>
        </w:rPr>
        <w:t>四</w:t>
      </w:r>
      <w:r>
        <w:rPr>
          <w:rFonts w:eastAsia="方正黑体_GBK"/>
          <w:szCs w:val="32"/>
        </w:rPr>
        <w:t>、</w:t>
      </w:r>
      <w:r>
        <w:rPr>
          <w:rFonts w:eastAsia="方正黑体_GBK" w:hint="eastAsia"/>
          <w:szCs w:val="32"/>
        </w:rPr>
        <w:t>着力加强党建帮扶</w:t>
      </w:r>
    </w:p>
    <w:p w:rsidR="00A030A4" w:rsidRDefault="002A22B0">
      <w:pPr>
        <w:spacing w:line="600" w:lineRule="exact"/>
        <w:ind w:firstLineChars="200" w:firstLine="643"/>
        <w:rPr>
          <w:szCs w:val="32"/>
        </w:rPr>
      </w:pPr>
      <w:r>
        <w:rPr>
          <w:rFonts w:hAnsi="方正楷体_GBK" w:cs="方正楷体_GBK" w:hint="eastAsia"/>
          <w:b/>
          <w:bCs/>
          <w:szCs w:val="32"/>
        </w:rPr>
        <w:t>（十二）持续开展结对共建</w:t>
      </w:r>
      <w:r>
        <w:rPr>
          <w:rFonts w:hint="eastAsia"/>
          <w:szCs w:val="32"/>
        </w:rPr>
        <w:t>。认真落实局党组《关于深入推</w:t>
      </w:r>
      <w:r>
        <w:rPr>
          <w:rFonts w:hint="eastAsia"/>
          <w:szCs w:val="32"/>
        </w:rPr>
        <w:lastRenderedPageBreak/>
        <w:t>进抓党建促乡村振兴进一步做好结对</w:t>
      </w:r>
      <w:r>
        <w:rPr>
          <w:rFonts w:hint="eastAsia"/>
          <w:szCs w:val="32"/>
        </w:rPr>
        <w:t>共建工作的指导意见》，创新工作方式，确保工作实效。局相关基层党组织要加强与结对村党支部的联系互动，探索创新共建形式，以结对共建成效助力乡村振兴。在开展党建共建活动中，力戒形式主义，减轻基层负担。〔机关党委（人事司），有结对任务的单位〕</w:t>
      </w:r>
    </w:p>
    <w:p w:rsidR="00A030A4" w:rsidRDefault="002A22B0">
      <w:pPr>
        <w:spacing w:line="600" w:lineRule="exact"/>
        <w:ind w:firstLineChars="200" w:firstLine="643"/>
        <w:rPr>
          <w:szCs w:val="32"/>
        </w:rPr>
      </w:pPr>
      <w:r>
        <w:rPr>
          <w:rFonts w:hAnsi="方正楷体_GBK" w:cs="方正楷体_GBK" w:hint="eastAsia"/>
          <w:b/>
          <w:bCs/>
          <w:szCs w:val="32"/>
        </w:rPr>
        <w:t>（十三）支持红色资源利用</w:t>
      </w:r>
      <w:r>
        <w:rPr>
          <w:rFonts w:hint="eastAsia"/>
          <w:szCs w:val="32"/>
        </w:rPr>
        <w:t>。协助三县宣传红色历史和红色旅游资源，组织局党员干部开展相关主题党日等活动。〔机关党委（人事司），各单位〕</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（十四）发挥挂职干部作用</w:t>
      </w:r>
      <w:r>
        <w:rPr>
          <w:rFonts w:hint="eastAsia"/>
          <w:szCs w:val="32"/>
        </w:rPr>
        <w:t>。坚持严管厚爱原则，加强挂职干部日常管理，关心挂职干部生活，及时帮助解决工作和生活中的困难，做好挂职干部到期轮换工作。</w:t>
      </w:r>
      <w:r>
        <w:rPr>
          <w:rFonts w:hAnsi="方正仿宋_GBK" w:cs="方正仿宋_GBK" w:hint="eastAsia"/>
          <w:szCs w:val="32"/>
        </w:rPr>
        <w:t>〔</w:t>
      </w:r>
      <w:r>
        <w:rPr>
          <w:rFonts w:hAnsi="方正仿宋_GBK" w:cs="方正仿宋_GBK" w:hint="eastAsia"/>
          <w:szCs w:val="32"/>
        </w:rPr>
        <w:t>机关党委（人事司）、规划司，派出挂职干部单位〕</w:t>
      </w:r>
    </w:p>
    <w:p w:rsidR="00A030A4" w:rsidRDefault="002A22B0">
      <w:pPr>
        <w:spacing w:line="600" w:lineRule="exact"/>
        <w:ind w:firstLineChars="200" w:firstLine="640"/>
        <w:rPr>
          <w:rFonts w:eastAsia="方正黑体_GBK"/>
          <w:kern w:val="0"/>
          <w:szCs w:val="32"/>
        </w:rPr>
      </w:pPr>
      <w:r>
        <w:rPr>
          <w:rFonts w:eastAsia="方正黑体_GBK" w:hint="eastAsia"/>
          <w:szCs w:val="32"/>
        </w:rPr>
        <w:t>五</w:t>
      </w:r>
      <w:r>
        <w:rPr>
          <w:rFonts w:eastAsia="方正黑体_GBK"/>
          <w:szCs w:val="32"/>
        </w:rPr>
        <w:t>、</w:t>
      </w:r>
      <w:r>
        <w:rPr>
          <w:rFonts w:eastAsia="方正黑体_GBK" w:hint="eastAsia"/>
          <w:szCs w:val="32"/>
        </w:rPr>
        <w:t>强化拓展社会帮扶</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（十五）协调资金帮扶</w:t>
      </w:r>
      <w:r>
        <w:rPr>
          <w:rFonts w:hint="eastAsia"/>
          <w:szCs w:val="32"/>
        </w:rPr>
        <w:t>。协调动员能源企业、公益组织等社会力量提供帮扶资金，支持三县特色产业发展和基础设施建设。</w:t>
      </w:r>
      <w:r>
        <w:rPr>
          <w:rFonts w:hAnsi="方正仿宋_GBK" w:cs="方正仿宋_GBK" w:hint="eastAsia"/>
          <w:szCs w:val="32"/>
        </w:rPr>
        <w:t>〔规划司牵头，局内各单位参与〕</w:t>
      </w:r>
    </w:p>
    <w:p w:rsidR="00A030A4" w:rsidRDefault="002A22B0">
      <w:pPr>
        <w:spacing w:line="600" w:lineRule="exact"/>
        <w:ind w:firstLineChars="200" w:firstLine="643"/>
        <w:rPr>
          <w:szCs w:val="32"/>
        </w:rPr>
      </w:pPr>
      <w:r>
        <w:rPr>
          <w:rFonts w:hAnsi="方正楷体_GBK" w:cs="方正楷体_GBK" w:hint="eastAsia"/>
          <w:b/>
          <w:bCs/>
          <w:szCs w:val="32"/>
        </w:rPr>
        <w:t>（十六）推动清陇公路规划建设。</w:t>
      </w:r>
      <w:r>
        <w:rPr>
          <w:rFonts w:hint="eastAsia"/>
          <w:szCs w:val="32"/>
        </w:rPr>
        <w:t>商请有关部门支持清水县公路建设，将清水县至陕西陇县公路项目纳入相关交通规划。〔规划司〕</w:t>
      </w:r>
    </w:p>
    <w:p w:rsidR="00A030A4" w:rsidRDefault="002A22B0">
      <w:pPr>
        <w:spacing w:line="600" w:lineRule="exact"/>
        <w:ind w:firstLineChars="200" w:firstLine="643"/>
        <w:rPr>
          <w:rFonts w:hAnsi="方正仿宋_GBK" w:cs="方正仿宋_GBK"/>
          <w:szCs w:val="32"/>
        </w:rPr>
      </w:pPr>
      <w:r>
        <w:rPr>
          <w:rFonts w:hAnsi="方正楷体_GBK" w:cs="方正楷体_GBK" w:hint="eastAsia"/>
          <w:b/>
          <w:bCs/>
          <w:szCs w:val="32"/>
        </w:rPr>
        <w:t>（十七）深化消费帮扶</w:t>
      </w:r>
      <w:r>
        <w:rPr>
          <w:rFonts w:hint="eastAsia"/>
          <w:szCs w:val="32"/>
        </w:rPr>
        <w:t>。组织局内党员干部积极购买三县特色农产品，各单位工会、食堂在购买慰问品、食材采购时优先选</w:t>
      </w:r>
      <w:r>
        <w:rPr>
          <w:rFonts w:hint="eastAsia"/>
          <w:szCs w:val="32"/>
        </w:rPr>
        <w:lastRenderedPageBreak/>
        <w:t>用三县产品。协调企业、社会组织购买三县产品，助力强化自有电商品牌，优化能源行业消费帮扶合作平台，进一步拓展销售渠道。</w:t>
      </w:r>
      <w:r>
        <w:rPr>
          <w:rFonts w:hAnsi="方正仿宋_GBK" w:cs="方正仿宋_GBK" w:hint="eastAsia"/>
          <w:szCs w:val="32"/>
        </w:rPr>
        <w:t>〔各单位，机关工会〕</w:t>
      </w:r>
    </w:p>
    <w:p w:rsidR="00A030A4" w:rsidRDefault="002A22B0">
      <w:pPr>
        <w:spacing w:line="600" w:lineRule="exact"/>
        <w:ind w:firstLineChars="200" w:firstLine="643"/>
        <w:rPr>
          <w:rFonts w:cs="仿宋_GB2312"/>
          <w:kern w:val="0"/>
          <w:szCs w:val="32"/>
        </w:rPr>
      </w:pPr>
      <w:r>
        <w:rPr>
          <w:rFonts w:hAnsi="方正楷体_GBK" w:cs="方正楷体_GBK" w:hint="eastAsia"/>
          <w:b/>
          <w:bCs/>
          <w:szCs w:val="32"/>
        </w:rPr>
        <w:t>（十八）拓展文化帮扶</w:t>
      </w:r>
      <w:r>
        <w:rPr>
          <w:rFonts w:hint="eastAsia"/>
          <w:szCs w:val="32"/>
        </w:rPr>
        <w:t>。</w:t>
      </w:r>
      <w:r>
        <w:rPr>
          <w:rFonts w:cs="仿宋_GB2312" w:hint="eastAsia"/>
          <w:kern w:val="0"/>
          <w:szCs w:val="32"/>
        </w:rPr>
        <w:t>指导开展丰富多彩、群众参与性强的文化活动，助力完善乡村文化设施，拓展宣传方式，引导村民自觉践行村规民约，培育文明乡风。</w:t>
      </w:r>
      <w:r>
        <w:rPr>
          <w:rFonts w:hAnsi="方正仿宋_GBK" w:cs="方正仿宋_GBK" w:hint="eastAsia"/>
          <w:szCs w:val="32"/>
        </w:rPr>
        <w:t>〔规划司牵头，局内各单位参与〕</w:t>
      </w:r>
    </w:p>
    <w:p w:rsidR="00A030A4" w:rsidRDefault="002A22B0">
      <w:pPr>
        <w:spacing w:line="600" w:lineRule="exact"/>
        <w:ind w:firstLineChars="200" w:firstLine="643"/>
        <w:rPr>
          <w:szCs w:val="32"/>
        </w:rPr>
      </w:pPr>
      <w:r>
        <w:rPr>
          <w:rFonts w:hAnsi="方正楷体_GBK" w:cs="方正楷体_GBK" w:hint="eastAsia"/>
          <w:b/>
          <w:bCs/>
          <w:szCs w:val="32"/>
        </w:rPr>
        <w:t>（十九）助力生态帮扶。</w:t>
      </w:r>
      <w:r>
        <w:rPr>
          <w:rFonts w:cs="仿宋_GB2312" w:hint="eastAsia"/>
          <w:kern w:val="0"/>
          <w:szCs w:val="32"/>
        </w:rPr>
        <w:t>支持发展绿色经济，助力深化农村人居环境整治，加强农业面源污染综合防治，助力美丽乡镇、美丽村庄</w:t>
      </w:r>
      <w:r>
        <w:rPr>
          <w:rFonts w:cs="仿宋_GB2312" w:hint="eastAsia"/>
          <w:kern w:val="0"/>
          <w:szCs w:val="32"/>
        </w:rPr>
        <w:t>建设。</w:t>
      </w:r>
      <w:r>
        <w:rPr>
          <w:rFonts w:hAnsi="方正仿宋_GBK" w:cs="方正仿宋_GBK" w:hint="eastAsia"/>
          <w:szCs w:val="32"/>
        </w:rPr>
        <w:t>〔规划司牵头，局内各单位参与〕</w:t>
      </w:r>
    </w:p>
    <w:p w:rsidR="00A030A4" w:rsidRDefault="00A030A4">
      <w:pPr>
        <w:ind w:right="-14"/>
      </w:pPr>
    </w:p>
    <w:sectPr w:rsidR="00A030A4">
      <w:pgSz w:w="11906" w:h="16838"/>
      <w:pgMar w:top="2098" w:right="1474" w:bottom="1984" w:left="1587" w:header="850" w:footer="90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B0" w:rsidRDefault="002A22B0">
      <w:pPr>
        <w:spacing w:line="240" w:lineRule="auto"/>
      </w:pPr>
      <w:r>
        <w:separator/>
      </w:r>
    </w:p>
  </w:endnote>
  <w:endnote w:type="continuationSeparator" w:id="0">
    <w:p w:rsidR="002A22B0" w:rsidRDefault="002A2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B0" w:rsidRDefault="002A22B0">
      <w:pPr>
        <w:spacing w:line="240" w:lineRule="auto"/>
      </w:pPr>
      <w:r>
        <w:separator/>
      </w:r>
    </w:p>
  </w:footnote>
  <w:footnote w:type="continuationSeparator" w:id="0">
    <w:p w:rsidR="002A22B0" w:rsidRDefault="002A22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ZiMjJhZmEyZDZmNTE1NTZkMjBmOTY0MjNmNmQyZjkifQ=="/>
  </w:docVars>
  <w:rsids>
    <w:rsidRoot w:val="000321C4"/>
    <w:rsid w:val="000321C4"/>
    <w:rsid w:val="000F5FAD"/>
    <w:rsid w:val="002A22B0"/>
    <w:rsid w:val="003F5191"/>
    <w:rsid w:val="00684304"/>
    <w:rsid w:val="006C1F49"/>
    <w:rsid w:val="00712B3A"/>
    <w:rsid w:val="007B715B"/>
    <w:rsid w:val="00964F74"/>
    <w:rsid w:val="00A030A4"/>
    <w:rsid w:val="00A746FC"/>
    <w:rsid w:val="00B90484"/>
    <w:rsid w:val="00C50F31"/>
    <w:rsid w:val="00D04B2D"/>
    <w:rsid w:val="00DD79CA"/>
    <w:rsid w:val="00F5137D"/>
    <w:rsid w:val="00F77C3C"/>
    <w:rsid w:val="31B17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C699"/>
  <w15:docId w15:val="{49DA0E86-658E-4645-AF99-695F16E9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仿宋_GB2312" w:eastAsia="仿宋_GB2312" w:cs="黑体"/>
      <w:kern w:val="2"/>
      <w:sz w:val="32"/>
      <w:szCs w:val="22"/>
    </w:rPr>
  </w:style>
  <w:style w:type="paragraph" w:styleId="1">
    <w:name w:val="heading 1"/>
    <w:basedOn w:val="a"/>
    <w:next w:val="a"/>
    <w:link w:val="10"/>
    <w:uiPriority w:val="9"/>
    <w:qFormat/>
    <w:pPr>
      <w:keepNext/>
      <w:keepLines/>
      <w:ind w:firstLineChars="200" w:firstLine="198"/>
      <w:outlineLvl w:val="0"/>
    </w:pPr>
    <w:rPr>
      <w:rFonts w:ascii="黑体" w:eastAsia="黑体"/>
      <w:bCs/>
      <w:kern w:val="0"/>
      <w:szCs w:val="44"/>
    </w:rPr>
  </w:style>
  <w:style w:type="paragraph" w:styleId="2">
    <w:name w:val="heading 2"/>
    <w:basedOn w:val="a"/>
    <w:next w:val="a"/>
    <w:link w:val="20"/>
    <w:uiPriority w:val="9"/>
    <w:semiHidden/>
    <w:unhideWhenUsed/>
    <w:qFormat/>
    <w:pPr>
      <w:keepNext/>
      <w:keepLines/>
      <w:ind w:firstLineChars="200" w:firstLine="198"/>
      <w:outlineLvl w:val="1"/>
    </w:pPr>
    <w:rPr>
      <w:rFonts w:ascii="楷体_GB2312" w:eastAsia="楷体_GB2312"/>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rPr>
      <w:rFonts w:ascii="宋体" w:eastAsia="宋体"/>
      <w:sz w:val="18"/>
      <w:szCs w:val="18"/>
    </w:rPr>
  </w:style>
  <w:style w:type="paragraph" w:styleId="a5">
    <w:name w:val="footer"/>
    <w:basedOn w:val="a"/>
    <w:unhideWhenUsed/>
    <w:pPr>
      <w:tabs>
        <w:tab w:val="center" w:pos="4153"/>
        <w:tab w:val="right" w:pos="8306"/>
      </w:tabs>
      <w:snapToGrid w:val="0"/>
      <w:spacing w:line="240" w:lineRule="auto"/>
      <w:jc w:val="left"/>
    </w:pPr>
    <w:rPr>
      <w:rFonts w:ascii="Calibri" w:eastAsia="宋体" w:hAnsi="Calibri"/>
      <w:sz w:val="18"/>
      <w:szCs w:val="18"/>
    </w:rPr>
  </w:style>
  <w:style w:type="paragraph" w:styleId="a6">
    <w:name w:val="header"/>
    <w:basedOn w:val="a"/>
    <w:unhideWhenUsed/>
    <w:pPr>
      <w:pBdr>
        <w:bottom w:val="single" w:sz="6" w:space="1" w:color="auto"/>
      </w:pBdr>
      <w:tabs>
        <w:tab w:val="center" w:pos="4153"/>
        <w:tab w:val="right" w:pos="8306"/>
      </w:tabs>
      <w:snapToGrid w:val="0"/>
      <w:spacing w:line="240" w:lineRule="auto"/>
      <w:jc w:val="center"/>
    </w:pPr>
    <w:rPr>
      <w:rFonts w:ascii="Calibri" w:eastAsia="宋体" w:hAnsi="Calibri"/>
      <w:sz w:val="18"/>
      <w:szCs w:val="18"/>
    </w:rPr>
  </w:style>
  <w:style w:type="paragraph" w:styleId="a7">
    <w:name w:val="Title"/>
    <w:basedOn w:val="a"/>
    <w:next w:val="a"/>
    <w:link w:val="a8"/>
    <w:uiPriority w:val="10"/>
    <w:qFormat/>
    <w:pPr>
      <w:keepNext/>
      <w:keepLines/>
      <w:jc w:val="center"/>
      <w:outlineLvl w:val="0"/>
    </w:pPr>
    <w:rPr>
      <w:rFonts w:ascii="方正小标宋简体" w:eastAsia="方正小标宋简体"/>
      <w:b/>
      <w:bCs/>
      <w:kern w:val="0"/>
      <w:sz w:val="44"/>
      <w:szCs w:val="32"/>
    </w:rPr>
  </w:style>
  <w:style w:type="character" w:styleId="a9">
    <w:name w:val="page number"/>
    <w:basedOn w:val="a0"/>
    <w:semiHidden/>
    <w:unhideWhenUsed/>
  </w:style>
  <w:style w:type="character" w:customStyle="1" w:styleId="a8">
    <w:name w:val="标题 字符"/>
    <w:basedOn w:val="a0"/>
    <w:link w:val="a7"/>
    <w:uiPriority w:val="10"/>
    <w:rPr>
      <w:rFonts w:ascii="方正小标宋简体" w:eastAsia="方正小标宋简体" w:hAnsi="Times New Roman" w:cs="黑体"/>
      <w:b/>
      <w:bCs/>
      <w:kern w:val="0"/>
      <w:sz w:val="44"/>
      <w:szCs w:val="32"/>
    </w:rPr>
  </w:style>
  <w:style w:type="character" w:customStyle="1" w:styleId="10">
    <w:name w:val="标题 1 字符"/>
    <w:basedOn w:val="a0"/>
    <w:link w:val="1"/>
    <w:uiPriority w:val="9"/>
    <w:rPr>
      <w:rFonts w:ascii="黑体" w:eastAsia="黑体" w:hAnsi="Times New Roman"/>
      <w:bCs/>
      <w:kern w:val="0"/>
      <w:sz w:val="32"/>
      <w:szCs w:val="44"/>
    </w:rPr>
  </w:style>
  <w:style w:type="character" w:customStyle="1" w:styleId="20">
    <w:name w:val="标题 2 字符"/>
    <w:basedOn w:val="a0"/>
    <w:link w:val="2"/>
    <w:uiPriority w:val="9"/>
    <w:semiHidden/>
    <w:rPr>
      <w:rFonts w:ascii="楷体_GB2312" w:eastAsia="楷体_GB2312" w:hAnsi="Times New Roman" w:cs="黑体"/>
      <w:bCs/>
      <w:kern w:val="0"/>
      <w:sz w:val="32"/>
      <w:szCs w:val="32"/>
    </w:rPr>
  </w:style>
  <w:style w:type="character" w:customStyle="1" w:styleId="a4">
    <w:name w:val="文档结构图 字符"/>
    <w:basedOn w:val="a0"/>
    <w:link w:val="a3"/>
    <w:semiHidden/>
    <w:rPr>
      <w:rFonts w:ascii="宋体" w:cs="黑体"/>
      <w:kern w:val="2"/>
      <w:sz w:val="18"/>
      <w:szCs w:val="18"/>
    </w:rPr>
  </w:style>
  <w:style w:type="character" w:styleId="aa">
    <w:name w:val="Hyperlink"/>
    <w:basedOn w:val="a0"/>
    <w:unhideWhenUsed/>
    <w:rsid w:val="003F5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fxxgk.nea.gov.cn/2023-04/23/c_1310714999.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1924</Characters>
  <Application>Microsoft Office Word</Application>
  <DocSecurity>0</DocSecurity>
  <Lines>16</Lines>
  <Paragraphs>4</Paragraphs>
  <ScaleCrop>false</ScaleCrop>
  <Company>国家能源局</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根据《2018年脱贫攻坚成效考核工作方案》（国开发办〔2018〕13号）和《关于2018年脱贫攻坚成效考核有关事项的通知》（国开发办〔2018〕51号）要求，我局对2018年定点扶贫甘肃省通渭县、清水县工作进行了认真总结，现将《国家能源局2018年定点扶贫工作自评报告》报去，供参考。</dc:title>
  <dc:creator>韩冬</dc:creator>
  <cp:lastModifiedBy>微软用户</cp:lastModifiedBy>
  <cp:revision>2</cp:revision>
  <dcterms:created xsi:type="dcterms:W3CDTF">2023-05-05T03:35:00Z</dcterms:created>
  <dcterms:modified xsi:type="dcterms:W3CDTF">2023-05-05T03:35:00Z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E8AC76C8F9F34357AA348C66A299CB99_12</vt:lpwstr>
  </property>
</Properties>
</file>