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4B3C35DB" w14:textId="33766A6A" w:rsidR="00CB21C3" w:rsidRPr="00721D24" w:rsidRDefault="00CB21C3" w:rsidP="00CB21C3">
      <w:pPr>
        <w:rPr>
          <w:rFonts w:ascii="黑体" w:eastAsia="黑体" w:hAnsi="黑体" w:cs="Times New Roman"/>
          <w:sz w:val="24"/>
          <w:szCs w:val="24"/>
        </w:rPr>
      </w:pPr>
      <w:r w:rsidRPr="00721D24">
        <w:rPr>
          <w:rFonts w:ascii="黑体" w:eastAsia="黑体" w:hAnsi="黑体" w:cs="Times New Roman"/>
          <w:sz w:val="24"/>
          <w:szCs w:val="24"/>
        </w:rPr>
        <w:fldChar w:fldCharType="begin"/>
      </w:r>
      <w:r w:rsidRPr="00721D24">
        <w:rPr>
          <w:rFonts w:ascii="黑体" w:eastAsia="黑体" w:hAnsi="黑体" w:cs="Times New Roman"/>
          <w:sz w:val="24"/>
          <w:szCs w:val="24"/>
        </w:rPr>
        <w:instrText xml:space="preserve"> HYPERLINK "</w:instrText>
      </w:r>
      <w:r w:rsidRPr="00721D24">
        <w:rPr>
          <w:rFonts w:ascii="黑体" w:eastAsia="黑体" w:hAnsi="黑体" w:cs="Times New Roman"/>
          <w:sz w:val="24"/>
          <w:szCs w:val="24"/>
        </w:rPr>
        <w:instrText>https://www.nmg.gov.cn/zwgk/zfxxgk/zfxxgkml/gzxzgfxwj/xzgfxwj/202212/t20221219_2190842.html</w:instrText>
      </w:r>
      <w:r w:rsidRPr="00721D24">
        <w:rPr>
          <w:rFonts w:ascii="黑体" w:eastAsia="黑体" w:hAnsi="黑体" w:cs="Times New Roman"/>
          <w:sz w:val="24"/>
          <w:szCs w:val="24"/>
        </w:rPr>
        <w:instrText xml:space="preserve">" </w:instrText>
      </w:r>
      <w:r w:rsidRPr="00721D24">
        <w:rPr>
          <w:rFonts w:ascii="黑体" w:eastAsia="黑体" w:hAnsi="黑体" w:cs="Times New Roman"/>
          <w:sz w:val="24"/>
          <w:szCs w:val="24"/>
        </w:rPr>
        <w:fldChar w:fldCharType="separate"/>
      </w:r>
      <w:r w:rsidRPr="00721D24">
        <w:rPr>
          <w:rStyle w:val="ad"/>
          <w:rFonts w:ascii="黑体" w:eastAsia="黑体" w:hAnsi="黑体" w:cs="Times New Roman"/>
          <w:sz w:val="24"/>
          <w:szCs w:val="24"/>
        </w:rPr>
        <w:t>https://www.nmg.gov.cn/zwgk/zfxxgk/zfxxgkml/gzxzgfxwj/xzgfxwj/202212/t20221219_2190842.html</w:t>
      </w:r>
      <w:r w:rsidRPr="00721D24">
        <w:rPr>
          <w:rFonts w:ascii="黑体" w:eastAsia="黑体" w:hAnsi="黑体" w:cs="Times New Roman"/>
          <w:sz w:val="24"/>
          <w:szCs w:val="24"/>
        </w:rPr>
        <w:fldChar w:fldCharType="end"/>
      </w:r>
    </w:p>
    <w:p w14:paraId="380BB9DA" w14:textId="77777777" w:rsidR="00CB21C3" w:rsidRPr="00721D24" w:rsidRDefault="00CB21C3" w:rsidP="00CB21C3">
      <w:pPr>
        <w:pStyle w:val="1"/>
        <w:ind w:left="900" w:hanging="480"/>
        <w:rPr>
          <w:rFonts w:hint="eastAsia"/>
          <w:sz w:val="24"/>
          <w:szCs w:val="24"/>
          <w:lang w:val="en-US"/>
        </w:rPr>
      </w:pPr>
    </w:p>
    <w:p w14:paraId="5FEAE1D5" w14:textId="77777777" w:rsidR="00CB21C3" w:rsidRPr="00721D24" w:rsidRDefault="00CB21C3" w:rsidP="00CB21C3">
      <w:pPr>
        <w:rPr>
          <w:rFonts w:ascii="黑体" w:eastAsia="黑体" w:hAnsi="黑体" w:cs="Times New Roman"/>
          <w:sz w:val="24"/>
          <w:szCs w:val="24"/>
        </w:rPr>
      </w:pPr>
    </w:p>
    <w:p w14:paraId="50E688F6" w14:textId="77777777" w:rsidR="00CB21C3" w:rsidRPr="00721D24" w:rsidRDefault="00CB21C3" w:rsidP="00CB21C3">
      <w:pPr>
        <w:rPr>
          <w:rFonts w:ascii="黑体" w:eastAsia="黑体" w:hAnsi="黑体" w:cs="Times New Roman"/>
          <w:sz w:val="24"/>
          <w:szCs w:val="24"/>
        </w:rPr>
      </w:pPr>
      <w:proofErr w:type="gramStart"/>
      <w:r w:rsidRPr="00721D24">
        <w:rPr>
          <w:rFonts w:ascii="黑体" w:eastAsia="黑体" w:hAnsi="黑体" w:cs="Times New Roman" w:hint="eastAsia"/>
          <w:sz w:val="24"/>
          <w:szCs w:val="24"/>
        </w:rPr>
        <w:t>炉具网讯</w:t>
      </w:r>
      <w:proofErr w:type="gramEnd"/>
      <w:r w:rsidRPr="00721D24">
        <w:rPr>
          <w:rFonts w:ascii="黑体" w:eastAsia="黑体" w:hAnsi="黑体" w:cs="Times New Roman" w:hint="eastAsia"/>
          <w:sz w:val="24"/>
          <w:szCs w:val="24"/>
        </w:rPr>
        <w:t>：近日，内蒙古自治区人民政府办公厅关于印发自治区支持新型储能发展若干政策（</w:t>
      </w:r>
      <w:r w:rsidRPr="00721D24">
        <w:rPr>
          <w:rFonts w:ascii="黑体" w:eastAsia="黑体" w:hAnsi="黑体" w:cs="Times New Roman"/>
          <w:sz w:val="24"/>
          <w:szCs w:val="24"/>
        </w:rPr>
        <w:t>2022—2025</w:t>
      </w:r>
      <w:r w:rsidRPr="00721D24">
        <w:rPr>
          <w:rFonts w:ascii="黑体" w:eastAsia="黑体" w:hAnsi="黑体" w:cs="Times New Roman" w:hint="eastAsia"/>
          <w:sz w:val="24"/>
          <w:szCs w:val="24"/>
        </w:rPr>
        <w:t>年）的通知。提高储能利用效率和新能源消纳能力。支持蓄热式电供暖等分散式储能设施。</w:t>
      </w:r>
    </w:p>
    <w:p w14:paraId="37212461" w14:textId="77777777" w:rsidR="00CB21C3" w:rsidRPr="00721D24" w:rsidRDefault="00CB21C3" w:rsidP="00CB21C3">
      <w:pPr>
        <w:rPr>
          <w:rFonts w:ascii="黑体" w:eastAsia="黑体" w:hAnsi="黑体" w:cs="Times New Roman"/>
          <w:sz w:val="24"/>
          <w:szCs w:val="24"/>
        </w:rPr>
      </w:pPr>
    </w:p>
    <w:p w14:paraId="0D7D5D01" w14:textId="77777777" w:rsidR="00CB21C3" w:rsidRPr="00721D24" w:rsidRDefault="00CB21C3" w:rsidP="00C756DB">
      <w:pPr>
        <w:jc w:val="center"/>
        <w:rPr>
          <w:rFonts w:ascii="黑体" w:eastAsia="黑体" w:hAnsi="黑体" w:cs="Times New Roman"/>
          <w:b/>
          <w:sz w:val="24"/>
          <w:szCs w:val="24"/>
        </w:rPr>
      </w:pPr>
      <w:r w:rsidRPr="00721D24">
        <w:rPr>
          <w:rFonts w:ascii="黑体" w:eastAsia="黑体" w:hAnsi="黑体" w:cs="Times New Roman" w:hint="eastAsia"/>
          <w:b/>
          <w:sz w:val="24"/>
          <w:szCs w:val="24"/>
        </w:rPr>
        <w:t>内蒙古自治区人民政府办公厅关于印发自治区支持新型储能发展若干政策（</w:t>
      </w:r>
      <w:r w:rsidRPr="00721D24">
        <w:rPr>
          <w:rFonts w:ascii="黑体" w:eastAsia="黑体" w:hAnsi="黑体" w:cs="Times New Roman"/>
          <w:b/>
          <w:sz w:val="24"/>
          <w:szCs w:val="24"/>
        </w:rPr>
        <w:t>2022—2025</w:t>
      </w:r>
      <w:r w:rsidRPr="00721D24">
        <w:rPr>
          <w:rFonts w:ascii="黑体" w:eastAsia="黑体" w:hAnsi="黑体" w:cs="Times New Roman" w:hint="eastAsia"/>
          <w:b/>
          <w:sz w:val="24"/>
          <w:szCs w:val="24"/>
        </w:rPr>
        <w:t>年）的通知</w:t>
      </w:r>
    </w:p>
    <w:p w14:paraId="1D65B8F2" w14:textId="77777777" w:rsidR="00CB21C3" w:rsidRPr="00721D24" w:rsidRDefault="00CB21C3" w:rsidP="00C756DB">
      <w:pPr>
        <w:jc w:val="center"/>
        <w:rPr>
          <w:rFonts w:ascii="黑体" w:eastAsia="黑体" w:hAnsi="黑体" w:cs="Times New Roman"/>
          <w:sz w:val="24"/>
          <w:szCs w:val="24"/>
        </w:rPr>
      </w:pPr>
      <w:r w:rsidRPr="00721D24">
        <w:rPr>
          <w:rFonts w:ascii="黑体" w:eastAsia="黑体" w:hAnsi="黑体" w:cs="Times New Roman" w:hint="eastAsia"/>
          <w:sz w:val="24"/>
          <w:szCs w:val="24"/>
        </w:rPr>
        <w:t>内政办发〔</w:t>
      </w:r>
      <w:r w:rsidRPr="00721D24">
        <w:rPr>
          <w:rFonts w:ascii="黑体" w:eastAsia="黑体" w:hAnsi="黑体" w:cs="Times New Roman"/>
          <w:sz w:val="24"/>
          <w:szCs w:val="24"/>
        </w:rPr>
        <w:t>2022</w:t>
      </w:r>
      <w:r w:rsidRPr="00721D24">
        <w:rPr>
          <w:rFonts w:ascii="黑体" w:eastAsia="黑体" w:hAnsi="黑体" w:cs="Times New Roman" w:hint="eastAsia"/>
          <w:sz w:val="24"/>
          <w:szCs w:val="24"/>
        </w:rPr>
        <w:t>〕</w:t>
      </w:r>
      <w:r w:rsidRPr="00721D24">
        <w:rPr>
          <w:rFonts w:ascii="黑体" w:eastAsia="黑体" w:hAnsi="黑体" w:cs="Times New Roman"/>
          <w:sz w:val="24"/>
          <w:szCs w:val="24"/>
        </w:rPr>
        <w:t>88</w:t>
      </w:r>
      <w:r w:rsidRPr="00721D24">
        <w:rPr>
          <w:rFonts w:ascii="黑体" w:eastAsia="黑体" w:hAnsi="黑体" w:cs="Times New Roman" w:hint="eastAsia"/>
          <w:sz w:val="24"/>
          <w:szCs w:val="24"/>
        </w:rPr>
        <w:t>号</w:t>
      </w:r>
    </w:p>
    <w:p w14:paraId="6274DDA0" w14:textId="77777777" w:rsidR="00CB21C3" w:rsidRPr="00721D24" w:rsidRDefault="00CB21C3" w:rsidP="00CB21C3">
      <w:pPr>
        <w:rPr>
          <w:rFonts w:ascii="黑体" w:eastAsia="黑体" w:hAnsi="黑体" w:cs="Times New Roman"/>
          <w:sz w:val="24"/>
          <w:szCs w:val="24"/>
        </w:rPr>
      </w:pPr>
    </w:p>
    <w:p w14:paraId="3867286E"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各盟行政公署、市人民政府，自治区各委、办、厅、局，各大企业、事业单位：</w:t>
      </w:r>
    </w:p>
    <w:p w14:paraId="6886CD9D" w14:textId="77777777" w:rsidR="00CB21C3" w:rsidRPr="00721D24" w:rsidRDefault="00CB21C3" w:rsidP="00CB21C3">
      <w:pPr>
        <w:rPr>
          <w:rFonts w:ascii="黑体" w:eastAsia="黑体" w:hAnsi="黑体" w:cs="Times New Roman"/>
          <w:sz w:val="24"/>
          <w:szCs w:val="24"/>
        </w:rPr>
      </w:pPr>
    </w:p>
    <w:p w14:paraId="168AEF15"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经自治区人民政府同意，</w:t>
      </w:r>
      <w:r w:rsidRPr="00721D24">
        <w:rPr>
          <w:rFonts w:ascii="黑体" w:eastAsia="黑体" w:hAnsi="黑体" w:cs="Times New Roman"/>
          <w:sz w:val="24"/>
          <w:szCs w:val="24"/>
        </w:rPr>
        <w:t xml:space="preserve"> </w:t>
      </w:r>
      <w:r w:rsidRPr="00721D24">
        <w:rPr>
          <w:rFonts w:ascii="黑体" w:eastAsia="黑体" w:hAnsi="黑体" w:cs="Times New Roman" w:hint="eastAsia"/>
          <w:sz w:val="24"/>
          <w:szCs w:val="24"/>
        </w:rPr>
        <w:t>现将《内蒙古自治区支持新型储能发展的若干政策（</w:t>
      </w:r>
      <w:r w:rsidRPr="00721D24">
        <w:rPr>
          <w:rFonts w:ascii="黑体" w:eastAsia="黑体" w:hAnsi="黑体" w:cs="Times New Roman"/>
          <w:sz w:val="24"/>
          <w:szCs w:val="24"/>
        </w:rPr>
        <w:t>2022—2025</w:t>
      </w:r>
      <w:r w:rsidRPr="00721D24">
        <w:rPr>
          <w:rFonts w:ascii="黑体" w:eastAsia="黑体" w:hAnsi="黑体" w:cs="Times New Roman" w:hint="eastAsia"/>
          <w:sz w:val="24"/>
          <w:szCs w:val="24"/>
        </w:rPr>
        <w:t>年）》印发给你们，请结合实际，认真贯彻落实。</w:t>
      </w:r>
    </w:p>
    <w:p w14:paraId="6B02B372" w14:textId="77777777" w:rsidR="00CB21C3" w:rsidRPr="00721D24" w:rsidRDefault="00CB21C3" w:rsidP="00CB21C3">
      <w:pPr>
        <w:rPr>
          <w:rFonts w:ascii="黑体" w:eastAsia="黑体" w:hAnsi="黑体" w:cs="Times New Roman"/>
          <w:sz w:val="24"/>
          <w:szCs w:val="24"/>
        </w:rPr>
      </w:pPr>
    </w:p>
    <w:p w14:paraId="61AB0CCE" w14:textId="77777777" w:rsidR="00CB21C3" w:rsidRPr="00721D24" w:rsidRDefault="00CB21C3" w:rsidP="00C756DB">
      <w:pPr>
        <w:jc w:val="right"/>
        <w:rPr>
          <w:rFonts w:ascii="黑体" w:eastAsia="黑体" w:hAnsi="黑体" w:cs="Times New Roman"/>
          <w:sz w:val="24"/>
          <w:szCs w:val="24"/>
        </w:rPr>
      </w:pPr>
      <w:r w:rsidRPr="00721D24">
        <w:rPr>
          <w:rFonts w:ascii="黑体" w:eastAsia="黑体" w:hAnsi="黑体" w:cs="Times New Roman" w:hint="eastAsia"/>
          <w:sz w:val="24"/>
          <w:szCs w:val="24"/>
        </w:rPr>
        <w:t>内蒙古自治区人民政府办公厅</w:t>
      </w:r>
    </w:p>
    <w:p w14:paraId="7A17265B" w14:textId="77777777" w:rsidR="00CB21C3" w:rsidRPr="00721D24" w:rsidRDefault="00CB21C3" w:rsidP="00C756DB">
      <w:pPr>
        <w:jc w:val="right"/>
        <w:rPr>
          <w:rFonts w:ascii="黑体" w:eastAsia="黑体" w:hAnsi="黑体" w:cs="Times New Roman"/>
          <w:sz w:val="24"/>
          <w:szCs w:val="24"/>
        </w:rPr>
      </w:pPr>
      <w:r w:rsidRPr="00721D24">
        <w:rPr>
          <w:rFonts w:ascii="黑体" w:eastAsia="黑体" w:hAnsi="黑体" w:cs="Times New Roman"/>
          <w:sz w:val="24"/>
          <w:szCs w:val="24"/>
        </w:rPr>
        <w:t>2022</w:t>
      </w:r>
      <w:r w:rsidRPr="00721D24">
        <w:rPr>
          <w:rFonts w:ascii="黑体" w:eastAsia="黑体" w:hAnsi="黑体" w:cs="Times New Roman" w:hint="eastAsia"/>
          <w:sz w:val="24"/>
          <w:szCs w:val="24"/>
        </w:rPr>
        <w:t>年</w:t>
      </w:r>
      <w:r w:rsidRPr="00721D24">
        <w:rPr>
          <w:rFonts w:ascii="黑体" w:eastAsia="黑体" w:hAnsi="黑体" w:cs="Times New Roman"/>
          <w:sz w:val="24"/>
          <w:szCs w:val="24"/>
        </w:rPr>
        <w:t>12</w:t>
      </w:r>
      <w:r w:rsidRPr="00721D24">
        <w:rPr>
          <w:rFonts w:ascii="黑体" w:eastAsia="黑体" w:hAnsi="黑体" w:cs="Times New Roman" w:hint="eastAsia"/>
          <w:sz w:val="24"/>
          <w:szCs w:val="24"/>
        </w:rPr>
        <w:t>月</w:t>
      </w:r>
      <w:r w:rsidRPr="00721D24">
        <w:rPr>
          <w:rFonts w:ascii="黑体" w:eastAsia="黑体" w:hAnsi="黑体" w:cs="Times New Roman"/>
          <w:sz w:val="24"/>
          <w:szCs w:val="24"/>
        </w:rPr>
        <w:t>13</w:t>
      </w:r>
      <w:r w:rsidRPr="00721D24">
        <w:rPr>
          <w:rFonts w:ascii="黑体" w:eastAsia="黑体" w:hAnsi="黑体" w:cs="Times New Roman" w:hint="eastAsia"/>
          <w:sz w:val="24"/>
          <w:szCs w:val="24"/>
        </w:rPr>
        <w:t>日</w:t>
      </w:r>
    </w:p>
    <w:p w14:paraId="652763FF" w14:textId="77777777" w:rsidR="00CB21C3" w:rsidRPr="00721D24" w:rsidRDefault="00CB21C3" w:rsidP="00CB21C3">
      <w:pPr>
        <w:rPr>
          <w:rFonts w:ascii="黑体" w:eastAsia="黑体" w:hAnsi="黑体" w:cs="Times New Roman"/>
          <w:sz w:val="24"/>
          <w:szCs w:val="24"/>
        </w:rPr>
      </w:pPr>
    </w:p>
    <w:p w14:paraId="3334200E"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（此件公开发布）</w:t>
      </w:r>
    </w:p>
    <w:p w14:paraId="71BE7A92" w14:textId="77777777" w:rsidR="00CB21C3" w:rsidRPr="00721D24" w:rsidRDefault="00CB21C3" w:rsidP="00CB21C3">
      <w:pPr>
        <w:rPr>
          <w:rFonts w:ascii="黑体" w:eastAsia="黑体" w:hAnsi="黑体" w:cs="Times New Roman"/>
          <w:sz w:val="24"/>
          <w:szCs w:val="24"/>
        </w:rPr>
      </w:pPr>
    </w:p>
    <w:p w14:paraId="337129CD" w14:textId="77777777" w:rsidR="00CB21C3" w:rsidRPr="00721D24" w:rsidRDefault="00CB21C3" w:rsidP="00C756DB">
      <w:pPr>
        <w:jc w:val="center"/>
        <w:rPr>
          <w:rFonts w:ascii="黑体" w:eastAsia="黑体" w:hAnsi="黑体" w:cs="Times New Roman"/>
          <w:b/>
          <w:sz w:val="24"/>
          <w:szCs w:val="24"/>
        </w:rPr>
      </w:pPr>
      <w:r w:rsidRPr="00721D24">
        <w:rPr>
          <w:rFonts w:ascii="黑体" w:eastAsia="黑体" w:hAnsi="黑体" w:cs="Times New Roman" w:hint="eastAsia"/>
          <w:b/>
          <w:sz w:val="24"/>
          <w:szCs w:val="24"/>
        </w:rPr>
        <w:t>内蒙古自治区支持新型储能发展的若干政策（</w:t>
      </w:r>
      <w:r w:rsidRPr="00721D24">
        <w:rPr>
          <w:rFonts w:ascii="黑体" w:eastAsia="黑体" w:hAnsi="黑体" w:cs="Times New Roman"/>
          <w:b/>
          <w:sz w:val="24"/>
          <w:szCs w:val="24"/>
        </w:rPr>
        <w:t>2022—2025</w:t>
      </w:r>
      <w:r w:rsidRPr="00721D24">
        <w:rPr>
          <w:rFonts w:ascii="黑体" w:eastAsia="黑体" w:hAnsi="黑体" w:cs="Times New Roman" w:hint="eastAsia"/>
          <w:b/>
          <w:sz w:val="24"/>
          <w:szCs w:val="24"/>
        </w:rPr>
        <w:t>年）</w:t>
      </w:r>
    </w:p>
    <w:p w14:paraId="175D7391" w14:textId="77777777" w:rsidR="00CB21C3" w:rsidRPr="00721D24" w:rsidRDefault="00CB21C3" w:rsidP="00CB21C3">
      <w:pPr>
        <w:rPr>
          <w:rFonts w:ascii="黑体" w:eastAsia="黑体" w:hAnsi="黑体" w:cs="Times New Roman"/>
          <w:sz w:val="24"/>
          <w:szCs w:val="24"/>
        </w:rPr>
      </w:pPr>
    </w:p>
    <w:p w14:paraId="77275033"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发展新型储能是提升电力系统调节能力、综合效率和安全保障能力，支撑新型电力系统建设的重要举措。为统筹新型储能发展各项工作，加快开展新型储能试点示范项目建设，推动</w:t>
      </w:r>
      <w:proofErr w:type="gramStart"/>
      <w:r w:rsidRPr="00721D24">
        <w:rPr>
          <w:rFonts w:ascii="黑体" w:eastAsia="黑体" w:hAnsi="黑体" w:cs="Times New Roman" w:hint="eastAsia"/>
          <w:sz w:val="24"/>
          <w:szCs w:val="24"/>
        </w:rPr>
        <w:t>全区新型</w:t>
      </w:r>
      <w:proofErr w:type="gramEnd"/>
      <w:r w:rsidRPr="00721D24">
        <w:rPr>
          <w:rFonts w:ascii="黑体" w:eastAsia="黑体" w:hAnsi="黑体" w:cs="Times New Roman" w:hint="eastAsia"/>
          <w:sz w:val="24"/>
          <w:szCs w:val="24"/>
        </w:rPr>
        <w:t>储能市场化、产业化、规模化发展，结合自治区实际，制定如下支持政策。</w:t>
      </w:r>
    </w:p>
    <w:p w14:paraId="3A3C9C27" w14:textId="77777777" w:rsidR="00CB21C3" w:rsidRPr="00721D24" w:rsidRDefault="00CB21C3" w:rsidP="00CB21C3">
      <w:pPr>
        <w:rPr>
          <w:rFonts w:ascii="黑体" w:eastAsia="黑体" w:hAnsi="黑体" w:cs="Times New Roman"/>
          <w:sz w:val="24"/>
          <w:szCs w:val="24"/>
        </w:rPr>
      </w:pPr>
    </w:p>
    <w:p w14:paraId="423F6619"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一、支持锂电池、液流电池、压缩空气、飞轮等新型储能规模化发展布局，对其他形式储能开展试点示范工作。（责任单位：自治区各有关部门，各盟行政公署、市人民政府）</w:t>
      </w:r>
    </w:p>
    <w:p w14:paraId="153CB66F" w14:textId="77777777" w:rsidR="00CB21C3" w:rsidRPr="00721D24" w:rsidRDefault="00CB21C3" w:rsidP="00CB21C3">
      <w:pPr>
        <w:rPr>
          <w:rFonts w:ascii="黑体" w:eastAsia="黑体" w:hAnsi="黑体" w:cs="Times New Roman"/>
          <w:sz w:val="24"/>
          <w:szCs w:val="24"/>
        </w:rPr>
      </w:pPr>
    </w:p>
    <w:p w14:paraId="552F82A3"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二、新能源项目开发应按要求配建储能设施，可采用自建、租赁或购买储能服务等方式。</w:t>
      </w:r>
      <w:proofErr w:type="gramStart"/>
      <w:r w:rsidRPr="00721D24">
        <w:rPr>
          <w:rFonts w:ascii="黑体" w:eastAsia="黑体" w:hAnsi="黑体" w:cs="Times New Roman" w:hint="eastAsia"/>
          <w:sz w:val="24"/>
          <w:szCs w:val="24"/>
        </w:rPr>
        <w:t>新建保障</w:t>
      </w:r>
      <w:proofErr w:type="gramEnd"/>
      <w:r w:rsidRPr="00721D24">
        <w:rPr>
          <w:rFonts w:ascii="黑体" w:eastAsia="黑体" w:hAnsi="黑体" w:cs="Times New Roman" w:hint="eastAsia"/>
          <w:sz w:val="24"/>
          <w:szCs w:val="24"/>
        </w:rPr>
        <w:t>性并网新能源项目，配建储能原则上不低于新能源项目装机容量的</w:t>
      </w:r>
      <w:r w:rsidRPr="00721D24">
        <w:rPr>
          <w:rFonts w:ascii="黑体" w:eastAsia="黑体" w:hAnsi="黑体" w:cs="Times New Roman"/>
          <w:sz w:val="24"/>
          <w:szCs w:val="24"/>
        </w:rPr>
        <w:t>15%</w:t>
      </w:r>
      <w:r w:rsidRPr="00721D24">
        <w:rPr>
          <w:rFonts w:ascii="黑体" w:eastAsia="黑体" w:hAnsi="黑体" w:cs="Times New Roman" w:hint="eastAsia"/>
          <w:sz w:val="24"/>
          <w:szCs w:val="24"/>
        </w:rPr>
        <w:t>，储能时长</w:t>
      </w:r>
      <w:r w:rsidRPr="00721D24">
        <w:rPr>
          <w:rFonts w:ascii="黑体" w:eastAsia="黑体" w:hAnsi="黑体" w:cs="Times New Roman"/>
          <w:sz w:val="24"/>
          <w:szCs w:val="24"/>
        </w:rPr>
        <w:t>2</w:t>
      </w:r>
      <w:r w:rsidRPr="00721D24">
        <w:rPr>
          <w:rFonts w:ascii="黑体" w:eastAsia="黑体" w:hAnsi="黑体" w:cs="Times New Roman" w:hint="eastAsia"/>
          <w:sz w:val="24"/>
          <w:szCs w:val="24"/>
        </w:rPr>
        <w:t>小时以上，保障性并网风电光</w:t>
      </w:r>
      <w:proofErr w:type="gramStart"/>
      <w:r w:rsidRPr="00721D24">
        <w:rPr>
          <w:rFonts w:ascii="黑体" w:eastAsia="黑体" w:hAnsi="黑体" w:cs="Times New Roman" w:hint="eastAsia"/>
          <w:sz w:val="24"/>
          <w:szCs w:val="24"/>
        </w:rPr>
        <w:t>伏</w:t>
      </w:r>
      <w:proofErr w:type="gramEnd"/>
      <w:r w:rsidRPr="00721D24">
        <w:rPr>
          <w:rFonts w:ascii="黑体" w:eastAsia="黑体" w:hAnsi="黑体" w:cs="Times New Roman" w:hint="eastAsia"/>
          <w:sz w:val="24"/>
          <w:szCs w:val="24"/>
        </w:rPr>
        <w:t>电站配建的储能也可通过合建或改建方式整合为电源</w:t>
      </w:r>
      <w:proofErr w:type="gramStart"/>
      <w:r w:rsidRPr="00721D24">
        <w:rPr>
          <w:rFonts w:ascii="黑体" w:eastAsia="黑体" w:hAnsi="黑体" w:cs="Times New Roman" w:hint="eastAsia"/>
          <w:sz w:val="24"/>
          <w:szCs w:val="24"/>
        </w:rPr>
        <w:t>侧独立</w:t>
      </w:r>
      <w:proofErr w:type="gramEnd"/>
      <w:r w:rsidRPr="00721D24">
        <w:rPr>
          <w:rFonts w:ascii="黑体" w:eastAsia="黑体" w:hAnsi="黑体" w:cs="Times New Roman" w:hint="eastAsia"/>
          <w:sz w:val="24"/>
          <w:szCs w:val="24"/>
        </w:rPr>
        <w:t>新型储能电站，接入电网并由电网直接调度，提高储能利用效率和新能源消纳能力。新建市场化并网新能源项目，配建储能原则上不低于新</w:t>
      </w:r>
      <w:r w:rsidRPr="00721D24">
        <w:rPr>
          <w:rFonts w:ascii="黑体" w:eastAsia="黑体" w:hAnsi="黑体" w:cs="Times New Roman" w:hint="eastAsia"/>
          <w:sz w:val="24"/>
          <w:szCs w:val="24"/>
        </w:rPr>
        <w:lastRenderedPageBreak/>
        <w:t>能源项目装机容量的</w:t>
      </w:r>
      <w:r w:rsidRPr="00721D24">
        <w:rPr>
          <w:rFonts w:ascii="黑体" w:eastAsia="黑体" w:hAnsi="黑体" w:cs="Times New Roman"/>
          <w:sz w:val="24"/>
          <w:szCs w:val="24"/>
        </w:rPr>
        <w:t>15%</w:t>
      </w:r>
      <w:r w:rsidRPr="00721D24">
        <w:rPr>
          <w:rFonts w:ascii="黑体" w:eastAsia="黑体" w:hAnsi="黑体" w:cs="Times New Roman" w:hint="eastAsia"/>
          <w:sz w:val="24"/>
          <w:szCs w:val="24"/>
        </w:rPr>
        <w:t>，储能时长</w:t>
      </w:r>
      <w:r w:rsidRPr="00721D24">
        <w:rPr>
          <w:rFonts w:ascii="黑体" w:eastAsia="黑体" w:hAnsi="黑体" w:cs="Times New Roman"/>
          <w:sz w:val="24"/>
          <w:szCs w:val="24"/>
        </w:rPr>
        <w:t>4</w:t>
      </w:r>
      <w:r w:rsidRPr="00721D24">
        <w:rPr>
          <w:rFonts w:ascii="黑体" w:eastAsia="黑体" w:hAnsi="黑体" w:cs="Times New Roman" w:hint="eastAsia"/>
          <w:sz w:val="24"/>
          <w:szCs w:val="24"/>
        </w:rPr>
        <w:t>小时以上。〔责任单位：自治区能源局、内蒙古电力（集团）公司、国网蒙东电力公司〕</w:t>
      </w:r>
    </w:p>
    <w:p w14:paraId="1AB3778A" w14:textId="77777777" w:rsidR="00CB21C3" w:rsidRPr="00721D24" w:rsidRDefault="00CB21C3" w:rsidP="00CB21C3">
      <w:pPr>
        <w:rPr>
          <w:rFonts w:ascii="黑体" w:eastAsia="黑体" w:hAnsi="黑体" w:cs="Times New Roman"/>
          <w:sz w:val="24"/>
          <w:szCs w:val="24"/>
        </w:rPr>
      </w:pPr>
    </w:p>
    <w:p w14:paraId="71FDB82E"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三、鼓励新建电源</w:t>
      </w:r>
      <w:proofErr w:type="gramStart"/>
      <w:r w:rsidRPr="00721D24">
        <w:rPr>
          <w:rFonts w:ascii="黑体" w:eastAsia="黑体" w:hAnsi="黑体" w:cs="Times New Roman" w:hint="eastAsia"/>
          <w:sz w:val="24"/>
          <w:szCs w:val="24"/>
        </w:rPr>
        <w:t>侧独立</w:t>
      </w:r>
      <w:proofErr w:type="gramEnd"/>
      <w:r w:rsidRPr="00721D24">
        <w:rPr>
          <w:rFonts w:ascii="黑体" w:eastAsia="黑体" w:hAnsi="黑体" w:cs="Times New Roman" w:hint="eastAsia"/>
          <w:sz w:val="24"/>
          <w:szCs w:val="24"/>
        </w:rPr>
        <w:t>新型储能电站，支持开展出售、租赁调峰容量等共享服务，建立完善协调运营、利益共享机制，促进产业多元化、市场化发展。〔责任单位：自治区能源局、自治区工业和信息化厅、内蒙古电力（集团）公司、国网蒙东电力公司〕</w:t>
      </w:r>
    </w:p>
    <w:p w14:paraId="2D8FAEC1" w14:textId="77777777" w:rsidR="00CB21C3" w:rsidRPr="00721D24" w:rsidRDefault="00CB21C3" w:rsidP="00CB21C3">
      <w:pPr>
        <w:rPr>
          <w:rFonts w:ascii="黑体" w:eastAsia="黑体" w:hAnsi="黑体" w:cs="Times New Roman"/>
          <w:sz w:val="24"/>
          <w:szCs w:val="24"/>
        </w:rPr>
      </w:pPr>
    </w:p>
    <w:p w14:paraId="7C2FE745"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四、支持企业在电网关键节点、薄弱区域合理布局电网</w:t>
      </w:r>
      <w:proofErr w:type="gramStart"/>
      <w:r w:rsidRPr="00721D24">
        <w:rPr>
          <w:rFonts w:ascii="黑体" w:eastAsia="黑体" w:hAnsi="黑体" w:cs="Times New Roman" w:hint="eastAsia"/>
          <w:sz w:val="24"/>
          <w:szCs w:val="24"/>
        </w:rPr>
        <w:t>侧独立</w:t>
      </w:r>
      <w:proofErr w:type="gramEnd"/>
      <w:r w:rsidRPr="00721D24">
        <w:rPr>
          <w:rFonts w:ascii="黑体" w:eastAsia="黑体" w:hAnsi="黑体" w:cs="Times New Roman" w:hint="eastAsia"/>
          <w:sz w:val="24"/>
          <w:szCs w:val="24"/>
        </w:rPr>
        <w:t>新型储能电站，提高电网系统灵活调节和供电能力。电网</w:t>
      </w:r>
      <w:proofErr w:type="gramStart"/>
      <w:r w:rsidRPr="00721D24">
        <w:rPr>
          <w:rFonts w:ascii="黑体" w:eastAsia="黑体" w:hAnsi="黑体" w:cs="Times New Roman" w:hint="eastAsia"/>
          <w:sz w:val="24"/>
          <w:szCs w:val="24"/>
        </w:rPr>
        <w:t>侧独立</w:t>
      </w:r>
      <w:proofErr w:type="gramEnd"/>
      <w:r w:rsidRPr="00721D24">
        <w:rPr>
          <w:rFonts w:ascii="黑体" w:eastAsia="黑体" w:hAnsi="黑体" w:cs="Times New Roman" w:hint="eastAsia"/>
          <w:sz w:val="24"/>
          <w:szCs w:val="24"/>
        </w:rPr>
        <w:t>新型储能电站可自主选择参与电能量（中长期交易、现货）、辅助服务等市场，也可部分容量分别参与上述市场交易。〔责任单位：自治区能源局、工业和信息化厅，内蒙古电力（集团）公司、国网蒙东电力公司〕</w:t>
      </w:r>
    </w:p>
    <w:p w14:paraId="54C83501" w14:textId="77777777" w:rsidR="00CB21C3" w:rsidRPr="00721D24" w:rsidRDefault="00CB21C3" w:rsidP="00CB21C3">
      <w:pPr>
        <w:rPr>
          <w:rFonts w:ascii="黑体" w:eastAsia="黑体" w:hAnsi="黑体" w:cs="Times New Roman"/>
          <w:sz w:val="24"/>
          <w:szCs w:val="24"/>
        </w:rPr>
      </w:pPr>
    </w:p>
    <w:p w14:paraId="1FA659C8"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五、支持用能企业建设用户侧储能，支持聚合利用不间断电源、电动汽车、</w:t>
      </w:r>
      <w:proofErr w:type="gramStart"/>
      <w:r w:rsidRPr="00721D24">
        <w:rPr>
          <w:rFonts w:ascii="黑体" w:eastAsia="黑体" w:hAnsi="黑体" w:cs="Times New Roman" w:hint="eastAsia"/>
          <w:sz w:val="24"/>
          <w:szCs w:val="24"/>
        </w:rPr>
        <w:t>充换电</w:t>
      </w:r>
      <w:proofErr w:type="gramEnd"/>
      <w:r w:rsidRPr="00721D24">
        <w:rPr>
          <w:rFonts w:ascii="黑体" w:eastAsia="黑体" w:hAnsi="黑体" w:cs="Times New Roman" w:hint="eastAsia"/>
          <w:sz w:val="24"/>
          <w:szCs w:val="24"/>
        </w:rPr>
        <w:t>设施、蓄热式电供暖等分散式储能设施，探索智慧能源、虚拟电厂等多种商业模式。（责任单位：自治区工业和信息化厅、能源局、科技厅）</w:t>
      </w:r>
    </w:p>
    <w:p w14:paraId="4BCF0F25" w14:textId="77777777" w:rsidR="00CB21C3" w:rsidRPr="00721D24" w:rsidRDefault="00CB21C3" w:rsidP="00CB21C3">
      <w:pPr>
        <w:rPr>
          <w:rFonts w:ascii="黑体" w:eastAsia="黑体" w:hAnsi="黑体" w:cs="Times New Roman"/>
          <w:sz w:val="24"/>
          <w:szCs w:val="24"/>
        </w:rPr>
      </w:pPr>
    </w:p>
    <w:p w14:paraId="6184CED6"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六、开展独立新型储能电站示范项目建设，通过竞争性招标方式确定示范项目，原则上单个储能电站规模不小于</w:t>
      </w:r>
      <w:r w:rsidRPr="00721D24">
        <w:rPr>
          <w:rFonts w:ascii="黑体" w:eastAsia="黑体" w:hAnsi="黑体" w:cs="Times New Roman"/>
          <w:sz w:val="24"/>
          <w:szCs w:val="24"/>
        </w:rPr>
        <w:t>10</w:t>
      </w:r>
      <w:r w:rsidRPr="00721D24">
        <w:rPr>
          <w:rFonts w:ascii="黑体" w:eastAsia="黑体" w:hAnsi="黑体" w:cs="Times New Roman" w:hint="eastAsia"/>
          <w:sz w:val="24"/>
          <w:szCs w:val="24"/>
        </w:rPr>
        <w:t>万千瓦、时长不低于</w:t>
      </w:r>
      <w:r w:rsidRPr="00721D24">
        <w:rPr>
          <w:rFonts w:ascii="黑体" w:eastAsia="黑体" w:hAnsi="黑体" w:cs="Times New Roman"/>
          <w:sz w:val="24"/>
          <w:szCs w:val="24"/>
        </w:rPr>
        <w:t>2</w:t>
      </w:r>
      <w:r w:rsidRPr="00721D24">
        <w:rPr>
          <w:rFonts w:ascii="黑体" w:eastAsia="黑体" w:hAnsi="黑体" w:cs="Times New Roman" w:hint="eastAsia"/>
          <w:sz w:val="24"/>
          <w:szCs w:val="24"/>
        </w:rPr>
        <w:t>小时。〔责任单位：自治区能源局、内蒙古电力（集团）公司、国网蒙东电力公司〕</w:t>
      </w:r>
    </w:p>
    <w:p w14:paraId="3EFFE420" w14:textId="77777777" w:rsidR="00CB21C3" w:rsidRPr="00721D24" w:rsidRDefault="00CB21C3" w:rsidP="00CB21C3">
      <w:pPr>
        <w:rPr>
          <w:rFonts w:ascii="黑体" w:eastAsia="黑体" w:hAnsi="黑体" w:cs="Times New Roman"/>
          <w:sz w:val="24"/>
          <w:szCs w:val="24"/>
        </w:rPr>
      </w:pPr>
    </w:p>
    <w:p w14:paraId="79DF672E"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七、加大分时电价实施力度，适时调整峰谷电价价差至</w:t>
      </w:r>
      <w:r w:rsidRPr="00721D24">
        <w:rPr>
          <w:rFonts w:ascii="黑体" w:eastAsia="黑体" w:hAnsi="黑体" w:cs="Times New Roman"/>
          <w:sz w:val="24"/>
          <w:szCs w:val="24"/>
        </w:rPr>
        <w:t>3</w:t>
      </w:r>
      <w:r w:rsidRPr="00721D24">
        <w:rPr>
          <w:rFonts w:ascii="黑体" w:eastAsia="黑体" w:hAnsi="黑体" w:cs="Times New Roman" w:hint="eastAsia"/>
          <w:sz w:val="24"/>
          <w:szCs w:val="24"/>
        </w:rPr>
        <w:t>∶</w:t>
      </w:r>
      <w:r w:rsidRPr="00721D24">
        <w:rPr>
          <w:rFonts w:ascii="黑体" w:eastAsia="黑体" w:hAnsi="黑体" w:cs="Times New Roman"/>
          <w:sz w:val="24"/>
          <w:szCs w:val="24"/>
        </w:rPr>
        <w:t>1</w:t>
      </w:r>
      <w:r w:rsidRPr="00721D24">
        <w:rPr>
          <w:rFonts w:ascii="黑体" w:eastAsia="黑体" w:hAnsi="黑体" w:cs="Times New Roman" w:hint="eastAsia"/>
          <w:sz w:val="24"/>
          <w:szCs w:val="24"/>
        </w:rPr>
        <w:t>以上，为新型储能发展创造盈利空间。〔责任单位：自治区发展改革委、工业和信息化厅，内蒙古电力（集团）公司、国网蒙东电力公司〕</w:t>
      </w:r>
    </w:p>
    <w:p w14:paraId="0A863B76" w14:textId="77777777" w:rsidR="00CB21C3" w:rsidRPr="00721D24" w:rsidRDefault="00CB21C3" w:rsidP="00CB21C3">
      <w:pPr>
        <w:rPr>
          <w:rFonts w:ascii="黑体" w:eastAsia="黑体" w:hAnsi="黑体" w:cs="Times New Roman"/>
          <w:sz w:val="24"/>
          <w:szCs w:val="24"/>
        </w:rPr>
      </w:pPr>
    </w:p>
    <w:p w14:paraId="5AA3D922"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八、独立新型储能电站向电网送电的，相应充电电量不承担输配电价和政府性基金及附加。〔责任单位：自治区发展改革委、能源局，内蒙古电力（集团）公司、国网蒙东电力公司〕</w:t>
      </w:r>
    </w:p>
    <w:p w14:paraId="5ACDE130" w14:textId="77777777" w:rsidR="00CB21C3" w:rsidRPr="00721D24" w:rsidRDefault="00CB21C3" w:rsidP="00CB21C3">
      <w:pPr>
        <w:rPr>
          <w:rFonts w:ascii="黑体" w:eastAsia="黑体" w:hAnsi="黑体" w:cs="Times New Roman"/>
          <w:sz w:val="24"/>
          <w:szCs w:val="24"/>
        </w:rPr>
      </w:pPr>
    </w:p>
    <w:p w14:paraId="2744E799"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九、鼓励独立新型储能电站参与电力辅助服务市场，储能电站自主报价参与市场，根据市场规则出清。〔责任单位：自治区能源局、工业和信息化厅，内蒙古电力（集团）公司、国网蒙东电力公司〕</w:t>
      </w:r>
    </w:p>
    <w:p w14:paraId="1975A769" w14:textId="77777777" w:rsidR="00CB21C3" w:rsidRPr="00721D24" w:rsidRDefault="00CB21C3" w:rsidP="00CB21C3">
      <w:pPr>
        <w:rPr>
          <w:rFonts w:ascii="黑体" w:eastAsia="黑体" w:hAnsi="黑体" w:cs="Times New Roman"/>
          <w:sz w:val="24"/>
          <w:szCs w:val="24"/>
        </w:rPr>
      </w:pPr>
    </w:p>
    <w:p w14:paraId="51A41DEB"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十、建立市场化补偿机制，纳入自治区示范项目的独立新型储能电站享受容量补偿，补偿上限为</w:t>
      </w:r>
      <w:r w:rsidRPr="00721D24">
        <w:rPr>
          <w:rFonts w:ascii="黑体" w:eastAsia="黑体" w:hAnsi="黑体" w:cs="Times New Roman"/>
          <w:sz w:val="24"/>
          <w:szCs w:val="24"/>
        </w:rPr>
        <w:t>0.35</w:t>
      </w:r>
      <w:r w:rsidRPr="00721D24">
        <w:rPr>
          <w:rFonts w:ascii="黑体" w:eastAsia="黑体" w:hAnsi="黑体" w:cs="Times New Roman" w:hint="eastAsia"/>
          <w:sz w:val="24"/>
          <w:szCs w:val="24"/>
        </w:rPr>
        <w:t>元</w:t>
      </w:r>
      <w:r w:rsidRPr="00721D24">
        <w:rPr>
          <w:rFonts w:ascii="黑体" w:eastAsia="黑体" w:hAnsi="黑体" w:cs="Times New Roman"/>
          <w:sz w:val="24"/>
          <w:szCs w:val="24"/>
        </w:rPr>
        <w:t>/</w:t>
      </w:r>
      <w:r w:rsidRPr="00721D24">
        <w:rPr>
          <w:rFonts w:ascii="黑体" w:eastAsia="黑体" w:hAnsi="黑体" w:cs="Times New Roman" w:hint="eastAsia"/>
          <w:sz w:val="24"/>
          <w:szCs w:val="24"/>
        </w:rPr>
        <w:t>千瓦时，补偿期不超过</w:t>
      </w:r>
      <w:r w:rsidRPr="00721D24">
        <w:rPr>
          <w:rFonts w:ascii="黑体" w:eastAsia="黑体" w:hAnsi="黑体" w:cs="Times New Roman"/>
          <w:sz w:val="24"/>
          <w:szCs w:val="24"/>
        </w:rPr>
        <w:t>10</w:t>
      </w:r>
      <w:r w:rsidRPr="00721D24">
        <w:rPr>
          <w:rFonts w:ascii="黑体" w:eastAsia="黑体" w:hAnsi="黑体" w:cs="Times New Roman" w:hint="eastAsia"/>
          <w:sz w:val="24"/>
          <w:szCs w:val="24"/>
        </w:rPr>
        <w:t>年。容量补偿费用按放电量计算，根据实际调用电量，由未提供有偿调峰服务的市场主体分摊，如有容量市场相关政策出台，按新政策执行。〔责任单位：自治区能源局、工业和信息化厅，内蒙古电力（集团）公司、国网蒙东电力公司〕</w:t>
      </w:r>
    </w:p>
    <w:p w14:paraId="201C91BF" w14:textId="77777777" w:rsidR="00CB21C3" w:rsidRPr="00721D24" w:rsidRDefault="00CB21C3" w:rsidP="00CB21C3">
      <w:pPr>
        <w:rPr>
          <w:rFonts w:ascii="黑体" w:eastAsia="黑体" w:hAnsi="黑体" w:cs="Times New Roman"/>
          <w:sz w:val="24"/>
          <w:szCs w:val="24"/>
        </w:rPr>
      </w:pPr>
    </w:p>
    <w:p w14:paraId="031009E8"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lastRenderedPageBreak/>
        <w:t>十一、鼓励独立新型储能电站通过租赁、出售等市场化方式获得收益，对应容量不再享受容量补偿。〔责任单位：自治区能源局、工业和信息化厅、内蒙古电力（集团）公司、国网蒙东电力公司〕</w:t>
      </w:r>
    </w:p>
    <w:p w14:paraId="1958C1A1" w14:textId="77777777" w:rsidR="00CB21C3" w:rsidRPr="00721D24" w:rsidRDefault="00CB21C3" w:rsidP="00CB21C3">
      <w:pPr>
        <w:rPr>
          <w:rFonts w:ascii="黑体" w:eastAsia="黑体" w:hAnsi="黑体" w:cs="Times New Roman"/>
          <w:sz w:val="24"/>
          <w:szCs w:val="24"/>
        </w:rPr>
      </w:pPr>
    </w:p>
    <w:p w14:paraId="7D0907BE"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十二、支持新型储能全产业链发展，重点引进电解液、电芯、</w:t>
      </w:r>
      <w:r w:rsidRPr="00721D24">
        <w:rPr>
          <w:rFonts w:ascii="黑体" w:eastAsia="黑体" w:hAnsi="黑体" w:cs="Times New Roman"/>
          <w:sz w:val="24"/>
          <w:szCs w:val="24"/>
        </w:rPr>
        <w:t>BMS</w:t>
      </w:r>
      <w:r w:rsidRPr="00721D24">
        <w:rPr>
          <w:rFonts w:ascii="黑体" w:eastAsia="黑体" w:hAnsi="黑体" w:cs="Times New Roman" w:hint="eastAsia"/>
          <w:sz w:val="24"/>
          <w:szCs w:val="24"/>
        </w:rPr>
        <w:t>、</w:t>
      </w:r>
      <w:r w:rsidRPr="00721D24">
        <w:rPr>
          <w:rFonts w:ascii="黑体" w:eastAsia="黑体" w:hAnsi="黑体" w:cs="Times New Roman"/>
          <w:sz w:val="24"/>
          <w:szCs w:val="24"/>
        </w:rPr>
        <w:t>PCS</w:t>
      </w:r>
      <w:r w:rsidRPr="00721D24">
        <w:rPr>
          <w:rFonts w:ascii="黑体" w:eastAsia="黑体" w:hAnsi="黑体" w:cs="Times New Roman" w:hint="eastAsia"/>
          <w:sz w:val="24"/>
          <w:szCs w:val="24"/>
        </w:rPr>
        <w:t>、</w:t>
      </w:r>
      <w:r w:rsidRPr="00721D24">
        <w:rPr>
          <w:rFonts w:ascii="黑体" w:eastAsia="黑体" w:hAnsi="黑体" w:cs="Times New Roman"/>
          <w:sz w:val="24"/>
          <w:szCs w:val="24"/>
        </w:rPr>
        <w:t>EMS</w:t>
      </w:r>
      <w:r w:rsidRPr="00721D24">
        <w:rPr>
          <w:rFonts w:ascii="黑体" w:eastAsia="黑体" w:hAnsi="黑体" w:cs="Times New Roman" w:hint="eastAsia"/>
          <w:sz w:val="24"/>
          <w:szCs w:val="24"/>
        </w:rPr>
        <w:t>、空气压缩机、系统集成等核心装备。（责任单位：自治区能源局、工业和信息化厅，各盟行政公署、市人民政府）</w:t>
      </w:r>
    </w:p>
    <w:p w14:paraId="5E7AF517" w14:textId="77777777" w:rsidR="00CB21C3" w:rsidRPr="00721D24" w:rsidRDefault="00CB21C3" w:rsidP="00CB21C3">
      <w:pPr>
        <w:rPr>
          <w:rFonts w:ascii="黑体" w:eastAsia="黑体" w:hAnsi="黑体" w:cs="Times New Roman"/>
          <w:sz w:val="24"/>
          <w:szCs w:val="24"/>
        </w:rPr>
      </w:pPr>
    </w:p>
    <w:p w14:paraId="2E1950F1"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十三、支持新型储能应用基础研究、关键技术攻关、标准编制和成果转化，鼓励开展新型储能技术应用及商业应用示范、首台（套）重大技术装备示范，鼓励企业牵头建立新型研发机构、重点实验室、创新联合体，开展新型储能技术协同攻关，对符合条件的推荐纳入“科技兴蒙”政策支持范围。（责任单位：自治区科技厅、财政厅、工业和信息化厅、能源局，各盟行政公署、市人民政府）</w:t>
      </w:r>
    </w:p>
    <w:p w14:paraId="1C43025F" w14:textId="77777777" w:rsidR="00CB21C3" w:rsidRPr="00721D24" w:rsidRDefault="00CB21C3" w:rsidP="00CB21C3">
      <w:pPr>
        <w:rPr>
          <w:rFonts w:ascii="黑体" w:eastAsia="黑体" w:hAnsi="黑体" w:cs="Times New Roman"/>
          <w:sz w:val="24"/>
          <w:szCs w:val="24"/>
        </w:rPr>
      </w:pPr>
    </w:p>
    <w:p w14:paraId="51BEC1AA" w14:textId="77777777" w:rsidR="00CB21C3" w:rsidRPr="00721D24" w:rsidRDefault="00CB21C3" w:rsidP="00CB21C3">
      <w:pPr>
        <w:rPr>
          <w:rFonts w:ascii="黑体" w:eastAsia="黑体" w:hAnsi="黑体" w:cs="Times New Roman"/>
          <w:sz w:val="24"/>
          <w:szCs w:val="24"/>
        </w:rPr>
      </w:pPr>
      <w:r w:rsidRPr="00721D24">
        <w:rPr>
          <w:rFonts w:ascii="黑体" w:eastAsia="黑体" w:hAnsi="黑体" w:cs="Times New Roman" w:hint="eastAsia"/>
          <w:sz w:val="24"/>
          <w:szCs w:val="24"/>
        </w:rPr>
        <w:t>十四、积极引导产业发展基金为新型储能装备制造业提供资金保障。将新型储能产业纳入绿色金融支持范畴，根据项目实际和预期现金流，在银企双方自主协商的基础上予以利率优惠和调整还款进度、期限等安排。（责任单位：自治区财政厅、地方金融监管局，人民银行呼和浩特中心支行、内蒙古银保监局，各盟行政公署、市人民政府）</w:t>
      </w:r>
    </w:p>
    <w:p w14:paraId="1E1877B8" w14:textId="77777777" w:rsidR="00CB21C3" w:rsidRPr="00721D24" w:rsidRDefault="00CB21C3" w:rsidP="00CB21C3">
      <w:pPr>
        <w:rPr>
          <w:rFonts w:ascii="黑体" w:eastAsia="黑体" w:hAnsi="黑体" w:cs="Times New Roman"/>
          <w:sz w:val="24"/>
          <w:szCs w:val="24"/>
        </w:rPr>
      </w:pPr>
    </w:p>
    <w:p w14:paraId="770E01BC" w14:textId="2BB582F8" w:rsidR="003E7CEB" w:rsidRPr="00721D24" w:rsidRDefault="00CB21C3" w:rsidP="00CB21C3">
      <w:pPr>
        <w:rPr>
          <w:sz w:val="24"/>
          <w:szCs w:val="24"/>
        </w:rPr>
      </w:pPr>
      <w:r w:rsidRPr="00721D24">
        <w:rPr>
          <w:rFonts w:ascii="黑体" w:eastAsia="黑体" w:hAnsi="黑体" w:cs="Times New Roman" w:hint="eastAsia"/>
          <w:sz w:val="24"/>
          <w:szCs w:val="24"/>
        </w:rPr>
        <w:t>以上政策自发布之日起实施，有效期至</w:t>
      </w:r>
      <w:r w:rsidRPr="00721D24">
        <w:rPr>
          <w:rFonts w:ascii="黑体" w:eastAsia="黑体" w:hAnsi="黑体" w:cs="Times New Roman"/>
          <w:sz w:val="24"/>
          <w:szCs w:val="24"/>
        </w:rPr>
        <w:t>2025</w:t>
      </w:r>
      <w:r w:rsidRPr="00721D24">
        <w:rPr>
          <w:rFonts w:ascii="黑体" w:eastAsia="黑体" w:hAnsi="黑体" w:cs="Times New Roman" w:hint="eastAsia"/>
          <w:sz w:val="24"/>
          <w:szCs w:val="24"/>
        </w:rPr>
        <w:t>年</w:t>
      </w:r>
      <w:r w:rsidRPr="00721D24">
        <w:rPr>
          <w:rFonts w:ascii="黑体" w:eastAsia="黑体" w:hAnsi="黑体" w:cs="Times New Roman"/>
          <w:sz w:val="24"/>
          <w:szCs w:val="24"/>
        </w:rPr>
        <w:t>12</w:t>
      </w:r>
      <w:r w:rsidRPr="00721D24">
        <w:rPr>
          <w:rFonts w:ascii="黑体" w:eastAsia="黑体" w:hAnsi="黑体" w:cs="Times New Roman" w:hint="eastAsia"/>
          <w:sz w:val="24"/>
          <w:szCs w:val="24"/>
        </w:rPr>
        <w:t>月</w:t>
      </w:r>
      <w:r w:rsidRPr="00721D24">
        <w:rPr>
          <w:rFonts w:ascii="黑体" w:eastAsia="黑体" w:hAnsi="黑体" w:cs="Times New Roman"/>
          <w:sz w:val="24"/>
          <w:szCs w:val="24"/>
        </w:rPr>
        <w:t>31</w:t>
      </w:r>
      <w:r w:rsidRPr="00721D24">
        <w:rPr>
          <w:rFonts w:ascii="黑体" w:eastAsia="黑体" w:hAnsi="黑体" w:cs="Times New Roman" w:hint="eastAsia"/>
          <w:sz w:val="24"/>
          <w:szCs w:val="24"/>
        </w:rPr>
        <w:t>日，由自治区能源局会同相关部门负责解释。如遇国家政策调整，与国家政策不一致的，按照国家政策执行。</w:t>
      </w:r>
      <w:bookmarkEnd w:id="0"/>
    </w:p>
    <w:sectPr w:rsidR="003E7CEB" w:rsidRPr="00721D24">
      <w:footerReference w:type="default" r:id="rId8"/>
      <w:pgSz w:w="11900" w:h="16780"/>
      <w:pgMar w:top="2098" w:right="1474" w:bottom="1985" w:left="158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A016C" w14:textId="77777777" w:rsidR="005F5D18" w:rsidRDefault="005F5D18">
      <w:r>
        <w:separator/>
      </w:r>
    </w:p>
  </w:endnote>
  <w:endnote w:type="continuationSeparator" w:id="0">
    <w:p w14:paraId="204E5A34" w14:textId="77777777" w:rsidR="005F5D18" w:rsidRDefault="005F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2EF25" w14:textId="77777777" w:rsidR="003E7CEB" w:rsidRDefault="003E7CEB">
    <w:pPr>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8C204" w14:textId="77777777" w:rsidR="005F5D18" w:rsidRDefault="005F5D18">
      <w:r>
        <w:separator/>
      </w:r>
    </w:p>
  </w:footnote>
  <w:footnote w:type="continuationSeparator" w:id="0">
    <w:p w14:paraId="5AC820AD" w14:textId="77777777" w:rsidR="005F5D18" w:rsidRDefault="005F5D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EA6D0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EBACCE88"/>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04C40EC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B8EE59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D64001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A310160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3A52E7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1C62B8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5BA8C6A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B7A348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5NTJkNTRkMDdkNWM2ODM1NDFhNTZjODA0ODUxZTYifQ=="/>
  </w:docVars>
  <w:rsids>
    <w:rsidRoot w:val="00915281"/>
    <w:rsid w:val="ABFBE17F"/>
    <w:rsid w:val="AFB5F46B"/>
    <w:rsid w:val="B7FBB727"/>
    <w:rsid w:val="B9DFC838"/>
    <w:rsid w:val="BBDF31CB"/>
    <w:rsid w:val="DBFBA85D"/>
    <w:rsid w:val="DEADD33A"/>
    <w:rsid w:val="EBFB6290"/>
    <w:rsid w:val="ED3DB430"/>
    <w:rsid w:val="EFFD604F"/>
    <w:rsid w:val="F9FE8923"/>
    <w:rsid w:val="FD3D9A3C"/>
    <w:rsid w:val="FDDDADBD"/>
    <w:rsid w:val="FEEF5CD0"/>
    <w:rsid w:val="FF6D8D44"/>
    <w:rsid w:val="FF7FB318"/>
    <w:rsid w:val="FFD77A16"/>
    <w:rsid w:val="FFDB15A1"/>
    <w:rsid w:val="FFFF714B"/>
    <w:rsid w:val="FFFF8F77"/>
    <w:rsid w:val="00004CA9"/>
    <w:rsid w:val="00040301"/>
    <w:rsid w:val="00043857"/>
    <w:rsid w:val="00052ABB"/>
    <w:rsid w:val="00054FCC"/>
    <w:rsid w:val="00062386"/>
    <w:rsid w:val="000B29AA"/>
    <w:rsid w:val="000D782D"/>
    <w:rsid w:val="000E2E7F"/>
    <w:rsid w:val="000E577C"/>
    <w:rsid w:val="000E5787"/>
    <w:rsid w:val="000F2BEE"/>
    <w:rsid w:val="00123AE7"/>
    <w:rsid w:val="00125AE3"/>
    <w:rsid w:val="00135E3E"/>
    <w:rsid w:val="0014722B"/>
    <w:rsid w:val="001518A3"/>
    <w:rsid w:val="00155084"/>
    <w:rsid w:val="001627CD"/>
    <w:rsid w:val="00164CEB"/>
    <w:rsid w:val="001B6AA0"/>
    <w:rsid w:val="001B7CDC"/>
    <w:rsid w:val="001F0155"/>
    <w:rsid w:val="001F2015"/>
    <w:rsid w:val="001F304B"/>
    <w:rsid w:val="001F3CA9"/>
    <w:rsid w:val="001F6DF0"/>
    <w:rsid w:val="00242E29"/>
    <w:rsid w:val="00246E4A"/>
    <w:rsid w:val="002605B4"/>
    <w:rsid w:val="00261E7C"/>
    <w:rsid w:val="00263D0B"/>
    <w:rsid w:val="00276FE1"/>
    <w:rsid w:val="0028081C"/>
    <w:rsid w:val="00281193"/>
    <w:rsid w:val="0029157B"/>
    <w:rsid w:val="002B2D4F"/>
    <w:rsid w:val="002C550C"/>
    <w:rsid w:val="002F0E5A"/>
    <w:rsid w:val="00305600"/>
    <w:rsid w:val="00321F7E"/>
    <w:rsid w:val="00326533"/>
    <w:rsid w:val="00335B41"/>
    <w:rsid w:val="003529F8"/>
    <w:rsid w:val="003806DE"/>
    <w:rsid w:val="00392E74"/>
    <w:rsid w:val="003A2AD1"/>
    <w:rsid w:val="003D4F72"/>
    <w:rsid w:val="003E7CEB"/>
    <w:rsid w:val="00413A09"/>
    <w:rsid w:val="004235B6"/>
    <w:rsid w:val="004442C2"/>
    <w:rsid w:val="0047763A"/>
    <w:rsid w:val="0048164B"/>
    <w:rsid w:val="00484640"/>
    <w:rsid w:val="0048724D"/>
    <w:rsid w:val="004963E6"/>
    <w:rsid w:val="00496FDF"/>
    <w:rsid w:val="004B051D"/>
    <w:rsid w:val="004B5CC2"/>
    <w:rsid w:val="004E2100"/>
    <w:rsid w:val="004E2C6C"/>
    <w:rsid w:val="004E76C3"/>
    <w:rsid w:val="004F6083"/>
    <w:rsid w:val="0050240B"/>
    <w:rsid w:val="0054624C"/>
    <w:rsid w:val="00551BA0"/>
    <w:rsid w:val="00552854"/>
    <w:rsid w:val="00554F2C"/>
    <w:rsid w:val="00565F0E"/>
    <w:rsid w:val="00573D50"/>
    <w:rsid w:val="00573FB6"/>
    <w:rsid w:val="00585FA6"/>
    <w:rsid w:val="0059039A"/>
    <w:rsid w:val="005923BB"/>
    <w:rsid w:val="005952F5"/>
    <w:rsid w:val="005A67E5"/>
    <w:rsid w:val="005A7523"/>
    <w:rsid w:val="005D1BFB"/>
    <w:rsid w:val="005F4555"/>
    <w:rsid w:val="005F5D18"/>
    <w:rsid w:val="00621ACE"/>
    <w:rsid w:val="006370A5"/>
    <w:rsid w:val="00640A36"/>
    <w:rsid w:val="00643180"/>
    <w:rsid w:val="006455AF"/>
    <w:rsid w:val="006756FB"/>
    <w:rsid w:val="0068059B"/>
    <w:rsid w:val="00695339"/>
    <w:rsid w:val="006954F4"/>
    <w:rsid w:val="00695753"/>
    <w:rsid w:val="006A2276"/>
    <w:rsid w:val="006B51D8"/>
    <w:rsid w:val="006B7950"/>
    <w:rsid w:val="006D40D7"/>
    <w:rsid w:val="006E0997"/>
    <w:rsid w:val="00701421"/>
    <w:rsid w:val="00702552"/>
    <w:rsid w:val="0070757D"/>
    <w:rsid w:val="0071766E"/>
    <w:rsid w:val="007206C9"/>
    <w:rsid w:val="00721D24"/>
    <w:rsid w:val="00723923"/>
    <w:rsid w:val="00723F48"/>
    <w:rsid w:val="00730423"/>
    <w:rsid w:val="007312F4"/>
    <w:rsid w:val="0073439C"/>
    <w:rsid w:val="00734AAA"/>
    <w:rsid w:val="00751139"/>
    <w:rsid w:val="007530A5"/>
    <w:rsid w:val="00757895"/>
    <w:rsid w:val="00765D77"/>
    <w:rsid w:val="00775C63"/>
    <w:rsid w:val="00793189"/>
    <w:rsid w:val="0079493B"/>
    <w:rsid w:val="007A0924"/>
    <w:rsid w:val="007A329C"/>
    <w:rsid w:val="007B5D72"/>
    <w:rsid w:val="007C6F6B"/>
    <w:rsid w:val="007D57B6"/>
    <w:rsid w:val="007D6023"/>
    <w:rsid w:val="00806EF7"/>
    <w:rsid w:val="0081473B"/>
    <w:rsid w:val="008157D0"/>
    <w:rsid w:val="00816BE8"/>
    <w:rsid w:val="00825ECE"/>
    <w:rsid w:val="00835B1F"/>
    <w:rsid w:val="00835C7E"/>
    <w:rsid w:val="0084757F"/>
    <w:rsid w:val="00856EFB"/>
    <w:rsid w:val="00864302"/>
    <w:rsid w:val="008667B8"/>
    <w:rsid w:val="00877CE5"/>
    <w:rsid w:val="00893B30"/>
    <w:rsid w:val="008948A5"/>
    <w:rsid w:val="0089565D"/>
    <w:rsid w:val="008A08F0"/>
    <w:rsid w:val="008A2A64"/>
    <w:rsid w:val="008A7166"/>
    <w:rsid w:val="008B5464"/>
    <w:rsid w:val="008F1ADF"/>
    <w:rsid w:val="008F5AA8"/>
    <w:rsid w:val="009023C6"/>
    <w:rsid w:val="009066D0"/>
    <w:rsid w:val="00915281"/>
    <w:rsid w:val="00917A63"/>
    <w:rsid w:val="00937CB5"/>
    <w:rsid w:val="00946168"/>
    <w:rsid w:val="00960521"/>
    <w:rsid w:val="0096795E"/>
    <w:rsid w:val="0097275A"/>
    <w:rsid w:val="009A33D8"/>
    <w:rsid w:val="009B0DF1"/>
    <w:rsid w:val="009D2ECA"/>
    <w:rsid w:val="00A02426"/>
    <w:rsid w:val="00A37639"/>
    <w:rsid w:val="00A37C91"/>
    <w:rsid w:val="00A41CA9"/>
    <w:rsid w:val="00A422A5"/>
    <w:rsid w:val="00A44E48"/>
    <w:rsid w:val="00A46D60"/>
    <w:rsid w:val="00A50611"/>
    <w:rsid w:val="00A52F05"/>
    <w:rsid w:val="00A5651C"/>
    <w:rsid w:val="00A57BB3"/>
    <w:rsid w:val="00A71B10"/>
    <w:rsid w:val="00A82484"/>
    <w:rsid w:val="00AA1DFB"/>
    <w:rsid w:val="00AB5252"/>
    <w:rsid w:val="00AB607B"/>
    <w:rsid w:val="00AB6660"/>
    <w:rsid w:val="00AC41C6"/>
    <w:rsid w:val="00AE3420"/>
    <w:rsid w:val="00B0225D"/>
    <w:rsid w:val="00B056DE"/>
    <w:rsid w:val="00B06117"/>
    <w:rsid w:val="00B47F21"/>
    <w:rsid w:val="00B5443E"/>
    <w:rsid w:val="00B5588B"/>
    <w:rsid w:val="00B623B1"/>
    <w:rsid w:val="00B67F69"/>
    <w:rsid w:val="00BA4FCE"/>
    <w:rsid w:val="00BC65F2"/>
    <w:rsid w:val="00BD4A28"/>
    <w:rsid w:val="00C279F5"/>
    <w:rsid w:val="00C33AA7"/>
    <w:rsid w:val="00C33C4F"/>
    <w:rsid w:val="00C3602B"/>
    <w:rsid w:val="00C36DFD"/>
    <w:rsid w:val="00C47DF8"/>
    <w:rsid w:val="00C52631"/>
    <w:rsid w:val="00C55119"/>
    <w:rsid w:val="00C60B71"/>
    <w:rsid w:val="00C756DB"/>
    <w:rsid w:val="00C84FA3"/>
    <w:rsid w:val="00C85223"/>
    <w:rsid w:val="00C86A94"/>
    <w:rsid w:val="00C957DF"/>
    <w:rsid w:val="00CA58E3"/>
    <w:rsid w:val="00CA6202"/>
    <w:rsid w:val="00CB1D39"/>
    <w:rsid w:val="00CB21C3"/>
    <w:rsid w:val="00CB3194"/>
    <w:rsid w:val="00CD18F9"/>
    <w:rsid w:val="00CD7993"/>
    <w:rsid w:val="00CD7C8E"/>
    <w:rsid w:val="00CE4E4C"/>
    <w:rsid w:val="00D020AE"/>
    <w:rsid w:val="00D12C45"/>
    <w:rsid w:val="00D12E61"/>
    <w:rsid w:val="00D31A88"/>
    <w:rsid w:val="00D5157E"/>
    <w:rsid w:val="00D759D0"/>
    <w:rsid w:val="00DA7641"/>
    <w:rsid w:val="00DC2415"/>
    <w:rsid w:val="00DF14AF"/>
    <w:rsid w:val="00DF4999"/>
    <w:rsid w:val="00DF7D10"/>
    <w:rsid w:val="00E051B8"/>
    <w:rsid w:val="00E06E8E"/>
    <w:rsid w:val="00E21E79"/>
    <w:rsid w:val="00E36E63"/>
    <w:rsid w:val="00E424DC"/>
    <w:rsid w:val="00E50C6A"/>
    <w:rsid w:val="00E50D8C"/>
    <w:rsid w:val="00E51DD3"/>
    <w:rsid w:val="00E534C7"/>
    <w:rsid w:val="00E72683"/>
    <w:rsid w:val="00E93019"/>
    <w:rsid w:val="00EC7505"/>
    <w:rsid w:val="00EE1ACD"/>
    <w:rsid w:val="00EE364F"/>
    <w:rsid w:val="00EE6C22"/>
    <w:rsid w:val="00F127C9"/>
    <w:rsid w:val="00F153BA"/>
    <w:rsid w:val="00F20EDB"/>
    <w:rsid w:val="00F559FF"/>
    <w:rsid w:val="00F57CBD"/>
    <w:rsid w:val="00F64C20"/>
    <w:rsid w:val="00F724B6"/>
    <w:rsid w:val="00F92D88"/>
    <w:rsid w:val="00FA0348"/>
    <w:rsid w:val="00FA3158"/>
    <w:rsid w:val="00FD5917"/>
    <w:rsid w:val="00FF630E"/>
    <w:rsid w:val="02695591"/>
    <w:rsid w:val="03000E2C"/>
    <w:rsid w:val="05E36249"/>
    <w:rsid w:val="07206D93"/>
    <w:rsid w:val="083C5FBE"/>
    <w:rsid w:val="086558DA"/>
    <w:rsid w:val="08F467A0"/>
    <w:rsid w:val="094E63FA"/>
    <w:rsid w:val="09DC73B4"/>
    <w:rsid w:val="0B71503A"/>
    <w:rsid w:val="0EB84AD8"/>
    <w:rsid w:val="0FD1462C"/>
    <w:rsid w:val="10155E6D"/>
    <w:rsid w:val="104D0834"/>
    <w:rsid w:val="118A4C1B"/>
    <w:rsid w:val="12666393"/>
    <w:rsid w:val="149F664F"/>
    <w:rsid w:val="171D16C3"/>
    <w:rsid w:val="1ADF16DB"/>
    <w:rsid w:val="1CB3469D"/>
    <w:rsid w:val="1DC733CE"/>
    <w:rsid w:val="1DCE37AE"/>
    <w:rsid w:val="1F213256"/>
    <w:rsid w:val="1F47A240"/>
    <w:rsid w:val="20A76ABF"/>
    <w:rsid w:val="23635FFF"/>
    <w:rsid w:val="252E7E93"/>
    <w:rsid w:val="25DA45D0"/>
    <w:rsid w:val="26B8389F"/>
    <w:rsid w:val="276FE7E7"/>
    <w:rsid w:val="27954530"/>
    <w:rsid w:val="27CE0BE4"/>
    <w:rsid w:val="28316D5D"/>
    <w:rsid w:val="2B272929"/>
    <w:rsid w:val="2B3E3A5A"/>
    <w:rsid w:val="2BF17B6F"/>
    <w:rsid w:val="2EF54E9C"/>
    <w:rsid w:val="2FFF9032"/>
    <w:rsid w:val="31972C6C"/>
    <w:rsid w:val="320302D4"/>
    <w:rsid w:val="3303204F"/>
    <w:rsid w:val="350A6220"/>
    <w:rsid w:val="37484B0B"/>
    <w:rsid w:val="38B5741C"/>
    <w:rsid w:val="3B502E95"/>
    <w:rsid w:val="3BA03BA9"/>
    <w:rsid w:val="3E9C5B90"/>
    <w:rsid w:val="3EF316A3"/>
    <w:rsid w:val="3F17074F"/>
    <w:rsid w:val="3F5B894E"/>
    <w:rsid w:val="422854EA"/>
    <w:rsid w:val="423F693A"/>
    <w:rsid w:val="42B52772"/>
    <w:rsid w:val="4385502C"/>
    <w:rsid w:val="43FE7D42"/>
    <w:rsid w:val="4630145E"/>
    <w:rsid w:val="467A724D"/>
    <w:rsid w:val="48C369F6"/>
    <w:rsid w:val="496B278E"/>
    <w:rsid w:val="4AF10C32"/>
    <w:rsid w:val="4B335D88"/>
    <w:rsid w:val="4B5B7A50"/>
    <w:rsid w:val="4D67053E"/>
    <w:rsid w:val="4F026374"/>
    <w:rsid w:val="50602074"/>
    <w:rsid w:val="50FE67A8"/>
    <w:rsid w:val="510B4D16"/>
    <w:rsid w:val="51754B6D"/>
    <w:rsid w:val="5270668A"/>
    <w:rsid w:val="534664C3"/>
    <w:rsid w:val="534B0238"/>
    <w:rsid w:val="53E277EE"/>
    <w:rsid w:val="54417C79"/>
    <w:rsid w:val="55541494"/>
    <w:rsid w:val="57725C3B"/>
    <w:rsid w:val="58402E66"/>
    <w:rsid w:val="5DFC64F3"/>
    <w:rsid w:val="5EB05628"/>
    <w:rsid w:val="5EEF79FF"/>
    <w:rsid w:val="5F5B6260"/>
    <w:rsid w:val="5F6AE1AF"/>
    <w:rsid w:val="5FBE05CF"/>
    <w:rsid w:val="5FFB8A76"/>
    <w:rsid w:val="60693F19"/>
    <w:rsid w:val="621F65A9"/>
    <w:rsid w:val="637949C8"/>
    <w:rsid w:val="64561169"/>
    <w:rsid w:val="664C1EA4"/>
    <w:rsid w:val="67166411"/>
    <w:rsid w:val="674C5578"/>
    <w:rsid w:val="67BBC4C4"/>
    <w:rsid w:val="6A0F794A"/>
    <w:rsid w:val="6B0D20E1"/>
    <w:rsid w:val="6BDF7024"/>
    <w:rsid w:val="6C176A40"/>
    <w:rsid w:val="6E13783E"/>
    <w:rsid w:val="6ED2C348"/>
    <w:rsid w:val="75B9759E"/>
    <w:rsid w:val="75BEBFF1"/>
    <w:rsid w:val="76FCAC90"/>
    <w:rsid w:val="76FFB357"/>
    <w:rsid w:val="77314BB4"/>
    <w:rsid w:val="797F53B0"/>
    <w:rsid w:val="7A1E5EBE"/>
    <w:rsid w:val="7BB5033E"/>
    <w:rsid w:val="7BEE68AF"/>
    <w:rsid w:val="7C9FE740"/>
    <w:rsid w:val="7D7FB2FF"/>
    <w:rsid w:val="7DAC276E"/>
    <w:rsid w:val="7DAEA320"/>
    <w:rsid w:val="7DE66D1C"/>
    <w:rsid w:val="7E9F0162"/>
    <w:rsid w:val="7EFF8BF9"/>
    <w:rsid w:val="7F9B7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C4E64"/>
  <w15:docId w15:val="{EBD9AD87-F6B5-44D1-A44C-5890581B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图表目录1"/>
    <w:basedOn w:val="New"/>
    <w:next w:val="a"/>
    <w:qFormat/>
    <w:pPr>
      <w:spacing w:before="100" w:beforeAutospacing="1" w:after="100" w:afterAutospacing="1"/>
      <w:ind w:leftChars="200" w:left="200" w:hangingChars="200" w:hanging="200"/>
    </w:pPr>
    <w:rPr>
      <w:rFonts w:ascii="Times New Roman" w:eastAsia="宋体" w:hAnsi="Times New Roman" w:cs="Times New Roman"/>
      <w:sz w:val="21"/>
      <w:szCs w:val="21"/>
    </w:rPr>
  </w:style>
  <w:style w:type="paragraph" w:customStyle="1" w:styleId="New">
    <w:name w:val="正文 New"/>
    <w:next w:val="1"/>
    <w:qFormat/>
    <w:pPr>
      <w:widowControl w:val="0"/>
    </w:pPr>
    <w:rPr>
      <w:rFonts w:ascii="Arial Unicode MS" w:eastAsia="Arial Unicode MS" w:hAnsi="Arial Unicode MS" w:cs="Arial Unicode MS"/>
      <w:color w:val="000000"/>
      <w:sz w:val="24"/>
      <w:szCs w:val="24"/>
      <w:lang w:val="zh-CN"/>
    </w:rPr>
  </w:style>
  <w:style w:type="paragraph" w:styleId="a3">
    <w:name w:val="footer"/>
    <w:basedOn w:val="a"/>
    <w:link w:val="a4"/>
    <w:qFormat/>
    <w:pPr>
      <w:tabs>
        <w:tab w:val="center" w:pos="4153"/>
        <w:tab w:val="right" w:pos="8306"/>
      </w:tabs>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6">
    <w:name w:val="Normal (Web)"/>
    <w:basedOn w:val="a"/>
    <w:qFormat/>
    <w:pPr>
      <w:widowControl w:val="0"/>
      <w:kinsoku/>
      <w:autoSpaceDE/>
      <w:autoSpaceDN/>
      <w:adjustRightInd/>
      <w:snapToGrid/>
      <w:spacing w:beforeAutospacing="1" w:afterAutospacing="1"/>
      <w:textAlignment w:val="auto"/>
    </w:pPr>
    <w:rPr>
      <w:rFonts w:asciiTheme="minorHAnsi" w:eastAsiaTheme="minorEastAsia" w:hAnsiTheme="minorHAnsi" w:cs="Times New Roman"/>
      <w:snapToGrid/>
      <w:color w:val="auto"/>
      <w:sz w:val="24"/>
      <w:szCs w:val="24"/>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4">
    <w:name w:val="页脚 字符"/>
    <w:basedOn w:val="a0"/>
    <w:link w:val="a3"/>
    <w:qFormat/>
    <w:rPr>
      <w:rFonts w:ascii="Arial" w:eastAsia="Arial" w:hAnsi="Arial" w:cs="Arial"/>
      <w:snapToGrid w:val="0"/>
      <w:color w:val="000000"/>
      <w:sz w:val="18"/>
      <w:szCs w:val="18"/>
    </w:rPr>
  </w:style>
  <w:style w:type="paragraph" w:customStyle="1" w:styleId="10">
    <w:name w:val="修订1"/>
    <w:hidden/>
    <w:uiPriority w:val="99"/>
    <w:semiHidden/>
    <w:qFormat/>
    <w:rPr>
      <w:rFonts w:ascii="Arial" w:eastAsia="Arial" w:hAnsi="Arial" w:cs="Arial"/>
      <w:snapToGrid w:val="0"/>
      <w:color w:val="000000"/>
      <w:sz w:val="21"/>
      <w:szCs w:val="21"/>
    </w:rPr>
  </w:style>
  <w:style w:type="paragraph" w:customStyle="1" w:styleId="2">
    <w:name w:val="修订2"/>
    <w:hidden/>
    <w:uiPriority w:val="99"/>
    <w:semiHidden/>
    <w:qFormat/>
    <w:rPr>
      <w:rFonts w:ascii="Arial" w:eastAsia="Arial" w:hAnsi="Arial" w:cs="Arial"/>
      <w:snapToGrid w:val="0"/>
      <w:color w:val="000000"/>
      <w:sz w:val="21"/>
      <w:szCs w:val="21"/>
    </w:rPr>
  </w:style>
  <w:style w:type="paragraph" w:customStyle="1" w:styleId="3">
    <w:name w:val="修订3"/>
    <w:hidden/>
    <w:uiPriority w:val="99"/>
    <w:semiHidden/>
    <w:qFormat/>
    <w:rPr>
      <w:rFonts w:ascii="Arial" w:eastAsia="Arial" w:hAnsi="Arial" w:cs="Arial"/>
      <w:snapToGrid w:val="0"/>
      <w:color w:val="000000"/>
      <w:sz w:val="21"/>
      <w:szCs w:val="21"/>
    </w:rPr>
  </w:style>
  <w:style w:type="paragraph" w:styleId="a7">
    <w:name w:val="Revision"/>
    <w:hidden/>
    <w:uiPriority w:val="99"/>
    <w:semiHidden/>
    <w:rsid w:val="00F153BA"/>
    <w:rPr>
      <w:rFonts w:ascii="Arial" w:eastAsia="Arial" w:hAnsi="Arial" w:cs="Arial"/>
      <w:snapToGrid w:val="0"/>
      <w:color w:val="000000"/>
      <w:sz w:val="21"/>
      <w:szCs w:val="21"/>
    </w:rPr>
  </w:style>
  <w:style w:type="character" w:styleId="a8">
    <w:name w:val="annotation reference"/>
    <w:basedOn w:val="a0"/>
    <w:rsid w:val="005A67E5"/>
    <w:rPr>
      <w:sz w:val="21"/>
      <w:szCs w:val="21"/>
    </w:rPr>
  </w:style>
  <w:style w:type="paragraph" w:styleId="a9">
    <w:name w:val="annotation text"/>
    <w:basedOn w:val="a"/>
    <w:link w:val="aa"/>
    <w:rsid w:val="005A67E5"/>
  </w:style>
  <w:style w:type="character" w:customStyle="1" w:styleId="aa">
    <w:name w:val="批注文字 字符"/>
    <w:basedOn w:val="a0"/>
    <w:link w:val="a9"/>
    <w:rsid w:val="005A67E5"/>
    <w:rPr>
      <w:rFonts w:ascii="Arial" w:eastAsia="Arial" w:hAnsi="Arial" w:cs="Arial"/>
      <w:snapToGrid w:val="0"/>
      <w:color w:val="000000"/>
      <w:sz w:val="21"/>
      <w:szCs w:val="21"/>
    </w:rPr>
  </w:style>
  <w:style w:type="paragraph" w:styleId="ab">
    <w:name w:val="annotation subject"/>
    <w:basedOn w:val="a9"/>
    <w:next w:val="a9"/>
    <w:link w:val="ac"/>
    <w:rsid w:val="005A67E5"/>
    <w:rPr>
      <w:b/>
      <w:bCs/>
    </w:rPr>
  </w:style>
  <w:style w:type="character" w:customStyle="1" w:styleId="ac">
    <w:name w:val="批注主题 字符"/>
    <w:basedOn w:val="aa"/>
    <w:link w:val="ab"/>
    <w:rsid w:val="005A67E5"/>
    <w:rPr>
      <w:rFonts w:ascii="Arial" w:eastAsia="Arial" w:hAnsi="Arial" w:cs="Arial"/>
      <w:b/>
      <w:bCs/>
      <w:snapToGrid w:val="0"/>
      <w:color w:val="000000"/>
      <w:sz w:val="21"/>
      <w:szCs w:val="21"/>
    </w:rPr>
  </w:style>
  <w:style w:type="character" w:styleId="ad">
    <w:name w:val="Hyperlink"/>
    <w:basedOn w:val="a0"/>
    <w:rsid w:val="008A2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92133">
      <w:bodyDiv w:val="1"/>
      <w:marLeft w:val="0"/>
      <w:marRight w:val="0"/>
      <w:marTop w:val="0"/>
      <w:marBottom w:val="0"/>
      <w:divBdr>
        <w:top w:val="none" w:sz="0" w:space="0" w:color="auto"/>
        <w:left w:val="none" w:sz="0" w:space="0" w:color="auto"/>
        <w:bottom w:val="none" w:sz="0" w:space="0" w:color="auto"/>
        <w:right w:val="none" w:sz="0" w:space="0" w:color="auto"/>
      </w:divBdr>
      <w:divsChild>
        <w:div w:id="760763165">
          <w:marLeft w:val="0"/>
          <w:marRight w:val="0"/>
          <w:marTop w:val="0"/>
          <w:marBottom w:val="0"/>
          <w:divBdr>
            <w:top w:val="none" w:sz="0" w:space="0" w:color="auto"/>
            <w:left w:val="none" w:sz="0" w:space="0" w:color="auto"/>
            <w:bottom w:val="none" w:sz="0" w:space="0" w:color="auto"/>
            <w:right w:val="none" w:sz="0" w:space="0" w:color="auto"/>
          </w:divBdr>
        </w:div>
        <w:div w:id="267202214">
          <w:marLeft w:val="0"/>
          <w:marRight w:val="0"/>
          <w:marTop w:val="0"/>
          <w:marBottom w:val="0"/>
          <w:divBdr>
            <w:top w:val="none" w:sz="0" w:space="0" w:color="auto"/>
            <w:left w:val="none" w:sz="0" w:space="0" w:color="auto"/>
            <w:bottom w:val="none" w:sz="0" w:space="0" w:color="auto"/>
            <w:right w:val="none" w:sz="0" w:space="0" w:color="auto"/>
          </w:divBdr>
        </w:div>
      </w:divsChild>
    </w:div>
    <w:div w:id="1488092067">
      <w:bodyDiv w:val="1"/>
      <w:marLeft w:val="0"/>
      <w:marRight w:val="0"/>
      <w:marTop w:val="0"/>
      <w:marBottom w:val="0"/>
      <w:divBdr>
        <w:top w:val="none" w:sz="0" w:space="0" w:color="auto"/>
        <w:left w:val="none" w:sz="0" w:space="0" w:color="auto"/>
        <w:bottom w:val="none" w:sz="0" w:space="0" w:color="auto"/>
        <w:right w:val="none" w:sz="0" w:space="0" w:color="auto"/>
      </w:divBdr>
    </w:div>
    <w:div w:id="1758791255">
      <w:bodyDiv w:val="1"/>
      <w:marLeft w:val="0"/>
      <w:marRight w:val="0"/>
      <w:marTop w:val="0"/>
      <w:marBottom w:val="0"/>
      <w:divBdr>
        <w:top w:val="none" w:sz="0" w:space="0" w:color="auto"/>
        <w:left w:val="none" w:sz="0" w:space="0" w:color="auto"/>
        <w:bottom w:val="none" w:sz="0" w:space="0" w:color="auto"/>
        <w:right w:val="none" w:sz="0" w:space="0" w:color="auto"/>
      </w:divBdr>
      <w:divsChild>
        <w:div w:id="658846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2022-11-02T02:55:00Z</cp:lastPrinted>
  <dcterms:created xsi:type="dcterms:W3CDTF">2022-12-21T00:35:00Z</dcterms:created>
  <dcterms:modified xsi:type="dcterms:W3CDTF">2022-12-21T00:35:00Z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2022-03-09T16:18:33Z</vt:filetime>
  </property>
  <property fmtid="{D5CDD505-2E9C-101B-9397-08002B2CF9AE}" pid="4" name="KSOProductBuildVer">
    <vt:lpwstr>2052-11.8.2.10125</vt:lpwstr>
  </property>
  <property fmtid="{D5CDD505-2E9C-101B-9397-08002B2CF9AE}" pid="5" name="ICV">
    <vt:lpwstr>1F6DEB68419E45CDB8BC7EEA27B482BD</vt:lpwstr>
  </property>
</Properties>
</file>