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14" w:rsidRPr="00CF5F14" w:rsidRDefault="00CF5F14" w:rsidP="00CF5F14">
      <w:pPr>
        <w:widowControl/>
        <w:shd w:val="clear" w:color="auto" w:fill="FFFFFF"/>
        <w:spacing w:line="600" w:lineRule="atLeast"/>
        <w:jc w:val="center"/>
        <w:outlineLvl w:val="1"/>
        <w:rPr>
          <w:rFonts w:ascii="微软雅黑" w:eastAsia="微软雅黑" w:hAnsi="微软雅黑" w:cs="宋体"/>
          <w:b/>
          <w:bCs/>
          <w:color w:val="000000"/>
          <w:kern w:val="0"/>
          <w:sz w:val="30"/>
          <w:szCs w:val="30"/>
        </w:rPr>
      </w:pPr>
      <w:r w:rsidRPr="00CF5F14">
        <w:rPr>
          <w:rFonts w:ascii="微软雅黑" w:eastAsia="微软雅黑" w:hAnsi="微软雅黑" w:cs="宋体" w:hint="eastAsia"/>
          <w:b/>
          <w:bCs/>
          <w:color w:val="000000"/>
          <w:kern w:val="0"/>
          <w:sz w:val="30"/>
          <w:szCs w:val="30"/>
        </w:rPr>
        <w:t>住建部等15部门印发《意见》 因地制宜开发利用生物质能等</w:t>
      </w:r>
    </w:p>
    <w:p w:rsid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w:t>
      </w:r>
      <w:hyperlink r:id="rId5" w:tgtFrame="_blank" w:tooltip="炉具网" w:history="1">
        <w:r w:rsidRPr="00CF5F14">
          <w:rPr>
            <w:rFonts w:ascii="微软雅黑" w:eastAsia="微软雅黑" w:hAnsi="微软雅黑" w:cs="宋体" w:hint="eastAsia"/>
            <w:b/>
            <w:bCs/>
            <w:color w:val="B22222"/>
            <w:kern w:val="0"/>
            <w:sz w:val="24"/>
            <w:szCs w:val="24"/>
          </w:rPr>
          <w:t>炉具网</w:t>
        </w:r>
      </w:hyperlink>
      <w:r w:rsidRPr="00CF5F14">
        <w:rPr>
          <w:rFonts w:ascii="微软雅黑" w:eastAsia="微软雅黑" w:hAnsi="微软雅黑" w:cs="宋体" w:hint="eastAsia"/>
          <w:color w:val="000000"/>
          <w:kern w:val="0"/>
          <w:sz w:val="24"/>
          <w:szCs w:val="24"/>
        </w:rPr>
        <w:t>讯：近日，住房和城乡建设部等</w:t>
      </w:r>
      <w:r w:rsidRPr="00CF5F14">
        <w:rPr>
          <w:rFonts w:ascii="微软雅黑" w:eastAsia="微软雅黑" w:hAnsi="微软雅黑" w:cs="宋体" w:hint="eastAsia"/>
          <w:b/>
          <w:bCs/>
          <w:color w:val="000000"/>
          <w:kern w:val="0"/>
          <w:sz w:val="24"/>
          <w:szCs w:val="24"/>
        </w:rPr>
        <w:t>15部门</w:t>
      </w:r>
      <w:r w:rsidRPr="00CF5F14">
        <w:rPr>
          <w:rFonts w:ascii="微软雅黑" w:eastAsia="微软雅黑" w:hAnsi="微软雅黑" w:cs="宋体" w:hint="eastAsia"/>
          <w:color w:val="000000"/>
          <w:kern w:val="0"/>
          <w:sz w:val="24"/>
          <w:szCs w:val="24"/>
        </w:rPr>
        <w:t>印发《</w:t>
      </w:r>
      <w:bookmarkStart w:id="0" w:name="_GoBack"/>
      <w:r w:rsidRPr="00CF5F14">
        <w:rPr>
          <w:rFonts w:ascii="微软雅黑" w:eastAsia="微软雅黑" w:hAnsi="微软雅黑" w:cs="宋体" w:hint="eastAsia"/>
          <w:color w:val="000000"/>
          <w:kern w:val="0"/>
          <w:sz w:val="24"/>
          <w:szCs w:val="24"/>
        </w:rPr>
        <w:t>关于加强县城绿色低碳建设的意见</w:t>
      </w:r>
      <w:bookmarkEnd w:id="0"/>
      <w:r w:rsidRPr="00CF5F14">
        <w:rPr>
          <w:rFonts w:ascii="微软雅黑" w:eastAsia="微软雅黑" w:hAnsi="微软雅黑" w:cs="宋体" w:hint="eastAsia"/>
          <w:color w:val="000000"/>
          <w:kern w:val="0"/>
          <w:sz w:val="24"/>
          <w:szCs w:val="24"/>
        </w:rPr>
        <w:t>》指出，提升县城能源使用效率，大力发展适应当地资源禀赋和需求的可再生能源，因地制宜开发利用地热能、</w:t>
      </w:r>
      <w:r w:rsidRPr="00CF5F14">
        <w:rPr>
          <w:rFonts w:ascii="微软雅黑" w:eastAsia="微软雅黑" w:hAnsi="微软雅黑" w:cs="宋体" w:hint="eastAsia"/>
          <w:b/>
          <w:bCs/>
          <w:color w:val="000000"/>
          <w:kern w:val="0"/>
          <w:sz w:val="24"/>
          <w:szCs w:val="24"/>
        </w:rPr>
        <w:t>生物质能</w:t>
      </w:r>
      <w:r w:rsidRPr="00CF5F14">
        <w:rPr>
          <w:rFonts w:ascii="微软雅黑" w:eastAsia="微软雅黑" w:hAnsi="微软雅黑" w:cs="宋体" w:hint="eastAsia"/>
          <w:color w:val="000000"/>
          <w:kern w:val="0"/>
          <w:sz w:val="24"/>
          <w:szCs w:val="24"/>
        </w:rPr>
        <w:t>、</w:t>
      </w:r>
      <w:r w:rsidRPr="00CF5F14">
        <w:rPr>
          <w:rFonts w:ascii="微软雅黑" w:eastAsia="微软雅黑" w:hAnsi="微软雅黑" w:cs="宋体" w:hint="eastAsia"/>
          <w:b/>
          <w:bCs/>
          <w:color w:val="000000"/>
          <w:kern w:val="0"/>
          <w:sz w:val="24"/>
          <w:szCs w:val="24"/>
        </w:rPr>
        <w:t>空气源和水源热泵等</w:t>
      </w:r>
      <w:r w:rsidRPr="00CF5F14">
        <w:rPr>
          <w:rFonts w:ascii="微软雅黑" w:eastAsia="微软雅黑" w:hAnsi="微软雅黑" w:cs="宋体" w:hint="eastAsia"/>
          <w:color w:val="000000"/>
          <w:kern w:val="0"/>
          <w:sz w:val="24"/>
          <w:szCs w:val="24"/>
        </w:rPr>
        <w:t>，</w:t>
      </w:r>
      <w:r w:rsidRPr="00CF5F14">
        <w:rPr>
          <w:rFonts w:ascii="微软雅黑" w:eastAsia="微软雅黑" w:hAnsi="微软雅黑" w:cs="宋体" w:hint="eastAsia"/>
          <w:b/>
          <w:bCs/>
          <w:color w:val="000000"/>
          <w:kern w:val="0"/>
          <w:sz w:val="24"/>
          <w:szCs w:val="24"/>
        </w:rPr>
        <w:t>推动区域清洁供热和北方县城清洁取暖</w:t>
      </w:r>
      <w:r w:rsidRPr="00CF5F14">
        <w:rPr>
          <w:rFonts w:ascii="微软雅黑" w:eastAsia="微软雅黑" w:hAnsi="微软雅黑" w:cs="宋体" w:hint="eastAsia"/>
          <w:color w:val="000000"/>
          <w:kern w:val="0"/>
          <w:sz w:val="24"/>
          <w:szCs w:val="24"/>
        </w:rPr>
        <w:t>，降低传统化石能源在建筑用能中的比例。暖博会持续关注农村清洁取暖。</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p>
    <w:p w:rsidR="00CF5F14" w:rsidRPr="00CF5F14" w:rsidRDefault="00CF5F14" w:rsidP="00CF5F14">
      <w:pPr>
        <w:widowControl/>
        <w:shd w:val="clear" w:color="auto" w:fill="FFFFFF"/>
        <w:spacing w:line="576" w:lineRule="atLeast"/>
        <w:jc w:val="center"/>
        <w:rPr>
          <w:rFonts w:ascii="微软雅黑" w:eastAsia="微软雅黑" w:hAnsi="微软雅黑" w:cs="宋体" w:hint="eastAsia"/>
          <w:color w:val="000000"/>
          <w:kern w:val="0"/>
          <w:sz w:val="24"/>
          <w:szCs w:val="24"/>
        </w:rPr>
      </w:pPr>
      <w:hyperlink r:id="rId6" w:history="1">
        <w:r w:rsidRPr="00CF5F14">
          <w:rPr>
            <w:rFonts w:ascii="微软雅黑" w:eastAsia="微软雅黑" w:hAnsi="微软雅黑" w:cs="宋体" w:hint="eastAsia"/>
            <w:b/>
            <w:bCs/>
            <w:color w:val="B22222"/>
            <w:kern w:val="0"/>
            <w:sz w:val="52"/>
            <w:szCs w:val="52"/>
          </w:rPr>
          <w:t>住房和城乡建设部等15部门</w:t>
        </w:r>
        <w:r w:rsidRPr="00CF5F14">
          <w:rPr>
            <w:rFonts w:ascii="微软雅黑" w:eastAsia="微软雅黑" w:hAnsi="微软雅黑" w:cs="宋体" w:hint="eastAsia"/>
            <w:b/>
            <w:bCs/>
            <w:color w:val="B22222"/>
            <w:kern w:val="0"/>
            <w:sz w:val="52"/>
            <w:szCs w:val="52"/>
          </w:rPr>
          <w:t>关于加强县城绿色低碳建设的意见</w:t>
        </w:r>
        <w:r w:rsidRPr="00CF5F14">
          <w:rPr>
            <w:rFonts w:ascii="微软雅黑" w:eastAsia="微软雅黑" w:hAnsi="微软雅黑" w:cs="宋体" w:hint="eastAsia"/>
            <w:color w:val="000000"/>
            <w:kern w:val="0"/>
            <w:sz w:val="24"/>
            <w:szCs w:val="24"/>
          </w:rPr>
          <w:br/>
        </w:r>
        <w:r w:rsidRPr="00CF5F14">
          <w:rPr>
            <w:rFonts w:ascii="微软雅黑" w:eastAsia="微软雅黑" w:hAnsi="微软雅黑" w:cs="宋体" w:hint="eastAsia"/>
            <w:color w:val="000000"/>
            <w:kern w:val="0"/>
            <w:sz w:val="28"/>
            <w:szCs w:val="28"/>
          </w:rPr>
          <w:t>建村〔2021〕45号</w:t>
        </w:r>
      </w:hyperlink>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各省、自治区、直辖市住房和城乡建设厅（委、管委）、科技厅（委、局）、工业和信息化厅（经信厅、经信局、工信局、经信委）、民政厅（局）、生态环境厅（局）、交通运输厅（委、局）、水利（水务）厅（局）、文化和旅游厅（局）、应急管理厅（局）、市场监管局（厅、委）、体育局、能源局、林草局、文物局、乡村振兴（扶贫）部门，新疆生产建设兵团住房和城乡建设局、科技局、工业和信息化局、民政局、生态环境局、交通运输局、水利局、文化和旅游局、应急管理局、市场监管局、体育局、能源局、林草局、文物局、扶贫办：</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县城是县域经济社会发展的中心和城乡融合发展的关键节点，是推进城乡绿色发展的重要载体。为深入贯彻落实党的十九届五中全会精神和“十四五”规划纲要部署要求，推进县城绿色低碳建设，现提出如下意见。</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w:t>
      </w:r>
      <w:r w:rsidRPr="00CF5F14">
        <w:rPr>
          <w:rFonts w:ascii="微软雅黑" w:eastAsia="微软雅黑" w:hAnsi="微软雅黑" w:cs="宋体" w:hint="eastAsia"/>
          <w:b/>
          <w:bCs/>
          <w:color w:val="000000"/>
          <w:kern w:val="0"/>
          <w:sz w:val="24"/>
          <w:szCs w:val="24"/>
        </w:rPr>
        <w:t>一、充分认识推动县城绿色低碳建设的重要意义</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lastRenderedPageBreak/>
        <w:t>        以县城为载体的就地城镇化是我国城镇化的重要特色。县域农业转移人口和返乡农民工在县城安家定居的需求日益增加，提高县城建设质量，增强对县域的综合服务能力，对于推进以人为核心的新型城镇化和乡村振兴具有十分重要的作用。改革开放以来，我国县城建设取得显著成就，县城面貌发生巨大变化，但在县城规模布局、密度强度、基础设施和公共服务能力、人居环境质量等方面仍存在不少问题和短板，迫切需要转变照搬城市的开发建设方式，推进县城建设绿色低碳发展。加强县城绿色低碳建设，是贯彻新发展理念、推动县城高质量发展的必然要求，是推进以县城为重要载体的新型城镇化建设、统筹城乡融合发展的重要内容，是补齐县城建设短板、满足人民群众日益增长的美好生活需要的重要举措。各地要立足新发展阶段，贯彻新发展理念，推动构建新发展格局，坚持以人民为中心的发展思想，统筹县城建设发展的经济需要、生活需要、生态需要、安全需要，推动县城提质增效，提升县城承载力和公共服务水平，增强县城综合服务能力，以绿色低碳理念引领县城高质量发展，推动形成绿色生产方式和生活方式，促进实现碳达峰、碳中和目标。</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w:t>
      </w:r>
      <w:r w:rsidRPr="00CF5F14">
        <w:rPr>
          <w:rFonts w:ascii="微软雅黑" w:eastAsia="微软雅黑" w:hAnsi="微软雅黑" w:cs="宋体" w:hint="eastAsia"/>
          <w:b/>
          <w:bCs/>
          <w:color w:val="000000"/>
          <w:kern w:val="0"/>
          <w:sz w:val="24"/>
          <w:szCs w:val="24"/>
        </w:rPr>
        <w:t>二、严格落实县城绿色低碳建设的有关要求</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一）严守县城建设安全底线。县城建设要坚持系统观念，统筹发展与安全，明确县城建设安全底线要求。县城新建建筑应选择在安全、适宜的地段进行建设，避开地震活动断层、洪涝、滑坡、泥石流等自然灾害易发的区域以及矿山采空区等，并做好防灾安全论证。加强防洪排涝减灾工程建设，畅通行洪通道，留足蓄滞洪空间，完善非工程措施体系，提高洪涝风险防控能力。</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（二）控制县城建设密度和强度。县城建设应疏密有度、错落有致、合理布局，既要防止盲目进行高密度高强度开发，又要防止摊大饼式无序蔓延。县城</w:t>
      </w:r>
      <w:r w:rsidRPr="00CF5F14">
        <w:rPr>
          <w:rFonts w:ascii="微软雅黑" w:eastAsia="微软雅黑" w:hAnsi="微软雅黑" w:cs="宋体" w:hint="eastAsia"/>
          <w:color w:val="000000"/>
          <w:kern w:val="0"/>
          <w:sz w:val="24"/>
          <w:szCs w:val="24"/>
        </w:rPr>
        <w:lastRenderedPageBreak/>
        <w:t>建成区人口密度应控制在每平方公里0.6万至1万人，县城建成区的建筑总面积与建设用地面积的比值应控制在0.6至0.8。</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三）限制县城民用建筑高度。县城民用建筑高度要与消防救援能力相匹配。县城新建住宅以6层为主，6层及以下住宅建筑面积占比应不低于70%。鼓励新建多层住宅安装电梯。县城新建住宅最高不超过18层。确需建设18层以上居住建筑的，应严格充分论证，并确保消防应急、市政配套设施等建设到位。加强50米以上公共建筑消防安全管理。建筑物的耐火等级、防火间距、平面设计等要符合消防技术标准强制性要求。</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四）县城建设要与自然环境相协调。县城建设应融入自然，顺应原有地形地貌，不挖山，不填河湖，不破坏原有的山水环境，保持山水脉络和自然风貌。保护修复河湖缓冲带和河流自然弯曲度，不得以风雨廊桥等名义开发建设房屋。县城绿化美化主要采用乡土植物，实现县城风貌与周边山水林田湖草沙自然生态系统、农林牧业景观有机融合。充分借助自然条件，推进县城内生态绿道和绿色游憩空间等建设。</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五）大力发展绿色建筑和建筑节能。县城新建建筑要落实基本级绿色建筑要求，鼓励发展星级绿色建筑。加快推行绿色建筑和建筑节能节水标准，加强设计、施工和运行管理，不断提高新建建筑中绿色建筑的比例。推进老旧小区节能节水改造和功能提升。新建公共建筑必须安装节水器具。加快推进绿色建材产品认证，推广应用绿色建材。发展装配式钢结构等新型建造方式。全面推行绿色施工。</w:t>
      </w:r>
      <w:r w:rsidRPr="00CF5F14">
        <w:rPr>
          <w:rFonts w:ascii="微软雅黑" w:eastAsia="微软雅黑" w:hAnsi="微软雅黑" w:cs="宋体" w:hint="eastAsia"/>
          <w:b/>
          <w:bCs/>
          <w:color w:val="B22222"/>
          <w:kern w:val="0"/>
          <w:sz w:val="24"/>
          <w:szCs w:val="24"/>
        </w:rPr>
        <w:t>提升县城能源使用效率，大力发展适应当地资源禀赋和需求的可再生能源，因地制宜开发利用地热能、生物质能、空气源和水源热泵等，推动区域清洁供热</w:t>
      </w:r>
      <w:r w:rsidRPr="00CF5F14">
        <w:rPr>
          <w:rFonts w:ascii="微软雅黑" w:eastAsia="微软雅黑" w:hAnsi="微软雅黑" w:cs="宋体" w:hint="eastAsia"/>
          <w:b/>
          <w:bCs/>
          <w:color w:val="B22222"/>
          <w:kern w:val="0"/>
          <w:sz w:val="24"/>
          <w:szCs w:val="24"/>
        </w:rPr>
        <w:lastRenderedPageBreak/>
        <w:t>和北方县城清洁取暖</w:t>
      </w:r>
      <w:r w:rsidRPr="00CF5F14">
        <w:rPr>
          <w:rFonts w:ascii="微软雅黑" w:eastAsia="微软雅黑" w:hAnsi="微软雅黑" w:cs="宋体" w:hint="eastAsia"/>
          <w:color w:val="000000"/>
          <w:kern w:val="0"/>
          <w:sz w:val="24"/>
          <w:szCs w:val="24"/>
        </w:rPr>
        <w:t>，通过提升新建厂房、公共建筑等屋顶光伏比例和实施光伏建筑一体化开发等方式，降低传统化石能源在建筑用能中的比例。</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六）建设绿色节约型基础设施。县城基础设施建设要适合本地特点，以小型化、分散化、生态化方式为主，降低建设和运营维护成本。倡导大分散与小区域集中相结合的基础设施布局方式，统筹县城水电气热通信等设施布局，因地制宜布置分布式能源、生活垃圾和污水处理等设施，减少输配管线建设和运行成本，并与周边自然生态环境有机融合。加强生活垃圾分类和废旧物资回收利用。构建县城绿色低碳能源体系，推广分散式风电、分布式光伏、智能光伏等清洁能源应用，提高生产生活用能清洁化水平，推广综合智慧能源服务，加强配电网、储能、电动汽车充电桩等能源基础设施建设。</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七）加强县城历史文化保护传承。保护传承县城历史文化和风貌，保存传统街区整体格局和原有街巷网络。不拆历史建筑、不破坏历史环境，保护好古树名木。加快推进历史文化街区划定和历史建筑、历史水系确定工作，及时认定公布具有保护价值的老城片区、建筑和水利工程，实施挂牌测绘建档，明确保护管理要求，确保有效保护、合理利用。及时核定公布文物保护单位，做好文物保护单位“四有”工作和登记不可移动文物挂牌保护，加大文物保护修缮力度，促进文物开放利用。落实文物消防安全责任，加强消防供水、消防设施和器材的配备和维护。县城建设发展应注意避让大型古遗址古墓葬。</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八）建设绿色低碳交通系统。打造适宜步行的县城交通体系，建设连续通畅的步行道网络。打通步行道断头道路，连接中断节点，优化过街设施，清理违法占道行为，提高道路通达性。完善安全措施，加强管理养护，确保步行道通</w:t>
      </w:r>
      <w:r w:rsidRPr="00CF5F14">
        <w:rPr>
          <w:rFonts w:ascii="微软雅黑" w:eastAsia="微软雅黑" w:hAnsi="微软雅黑" w:cs="宋体" w:hint="eastAsia"/>
          <w:color w:val="000000"/>
          <w:kern w:val="0"/>
          <w:sz w:val="24"/>
          <w:szCs w:val="24"/>
        </w:rPr>
        <w:lastRenderedPageBreak/>
        <w:t>行安全。鼓励县城建设连续安全的自行车道。优先发展公共交通，引导绿色低碳出行方式。</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九）营造人性化公共环境。严格控制县城广场规模，县城广场的集中硬地面积不应超过2公顷。鼓励在行政中心、商业区、文化设施、居住区等建设便于居民就近使用的公共空间。推行“窄马路、密路网、小街区”，打造县城宜人的空间尺度。控制县城道路宽度，县城内部道路红线宽度应不超过40米。合理确定建筑物与交通干线的防噪声距离，因地制宜采取防噪声措施。</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十）推行以街区为单元的统筹建设方式。要合理确定县城居住区规模，加强市政基础设施和基本公共服务设施配套，因地制宜配置生活污水和垃圾处理等设施。探索以街区为单元统筹建设公共服务、商业服务、文化体育等设施，加强社区绿化、体育公园、健身步道、公共活动空间场所建设，打造尺度适宜、配套完善、邻里和谐的生活街区。</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w:t>
      </w:r>
      <w:r w:rsidRPr="00CF5F14">
        <w:rPr>
          <w:rFonts w:ascii="微软雅黑" w:eastAsia="微软雅黑" w:hAnsi="微软雅黑" w:cs="宋体" w:hint="eastAsia"/>
          <w:b/>
          <w:bCs/>
          <w:color w:val="000000"/>
          <w:kern w:val="0"/>
          <w:sz w:val="24"/>
          <w:szCs w:val="24"/>
        </w:rPr>
        <w:t>三、切实抓好组织实施</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一）细化落实措施。省级住房和城乡建设部门要会同科技、工业和信息化、民政、生态环境、交通运输、水利、文化和旅游、应急管理、市场监管、体育、能源、林业和草原、文物、乡村振兴等有关部门按照本意见要求，根据本地区县城常住人口规模、地理位置、自然条件、功能定位等因素明确适用范围，特别是位于生态功能区、农产品主产区的县城要严格按照有关要求开展绿色低碳建设。各地要根据本地实际情况提出具体措施，细化有关要求，可进一步提高标准，但不能降低底线要求。</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（二）加强组织领导。各地要充分认识加强县城绿色低碳建设的重要性和紧迫性，将其作为落实“十四五”规划纲要、推动城乡建设绿色发展的重要内容，</w:t>
      </w:r>
      <w:r w:rsidRPr="00CF5F14">
        <w:rPr>
          <w:rFonts w:ascii="微软雅黑" w:eastAsia="微软雅黑" w:hAnsi="微软雅黑" w:cs="宋体" w:hint="eastAsia"/>
          <w:color w:val="000000"/>
          <w:kern w:val="0"/>
          <w:sz w:val="24"/>
          <w:szCs w:val="24"/>
        </w:rPr>
        <w:lastRenderedPageBreak/>
        <w:t>加强对本地区县城绿色低碳建设的督促指导，发挥科技创新引领作用，建立激励机制，强化政策支持。指导各县切实做好组织实施，压实工作责任，确保各项措施落实落地。各级住房和城乡建设等部门要在当地党委政府领导下，加强部门合作，形成工作合力，扎实推进实施工作。要加大宣传引导力度，发动各方力量参与县城绿色低碳建设，营造良好氛围。</w:t>
      </w:r>
    </w:p>
    <w:p w:rsidR="00CF5F14" w:rsidRPr="00CF5F14" w:rsidRDefault="00CF5F14" w:rsidP="00CF5F14">
      <w:pPr>
        <w:widowControl/>
        <w:shd w:val="clear" w:color="auto" w:fill="FFFFFF"/>
        <w:spacing w:line="576" w:lineRule="atLeas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        （三）积极开展试点。各地要根据本地实际，选择有代表性的县城开展试点，探索可复制可推广的经验做法。要对本地区县城绿色低碳建设情况进行评估，总结工作进展成效，及时推广好的经验模式。住房和城乡建设部将会同有关部门在乡村建设评价中对县城绿色低碳建设实施情况进行评估，针对存在的问题提出改进措施，指导各地加大工作力度，持续提升县城绿色低碳建设水平。</w:t>
      </w:r>
    </w:p>
    <w:p w:rsidR="00CF5F14" w:rsidRPr="00CF5F14" w:rsidRDefault="00CF5F14" w:rsidP="00CF5F14">
      <w:pPr>
        <w:widowControl/>
        <w:shd w:val="clear" w:color="auto" w:fill="FFFFFF"/>
        <w:spacing w:line="576" w:lineRule="atLeast"/>
        <w:jc w:val="right"/>
        <w:rPr>
          <w:rFonts w:ascii="微软雅黑" w:eastAsia="微软雅黑" w:hAnsi="微软雅黑" w:cs="宋体" w:hint="eastAsia"/>
          <w:color w:val="000000"/>
          <w:kern w:val="0"/>
          <w:sz w:val="24"/>
          <w:szCs w:val="24"/>
        </w:rPr>
      </w:pPr>
      <w:r w:rsidRPr="00CF5F14">
        <w:rPr>
          <w:rFonts w:ascii="微软雅黑" w:eastAsia="微软雅黑" w:hAnsi="微软雅黑" w:cs="宋体" w:hint="eastAsia"/>
          <w:color w:val="000000"/>
          <w:kern w:val="0"/>
          <w:sz w:val="24"/>
          <w:szCs w:val="24"/>
        </w:rPr>
        <w:t>住房和城乡建设部</w:t>
      </w:r>
      <w:r w:rsidRPr="00CF5F14">
        <w:rPr>
          <w:rFonts w:ascii="微软雅黑" w:eastAsia="微软雅黑" w:hAnsi="微软雅黑" w:cs="宋体" w:hint="eastAsia"/>
          <w:color w:val="000000"/>
          <w:kern w:val="0"/>
          <w:sz w:val="24"/>
          <w:szCs w:val="24"/>
        </w:rPr>
        <w:br/>
        <w:t>科技部</w:t>
      </w:r>
      <w:r w:rsidRPr="00CF5F14">
        <w:rPr>
          <w:rFonts w:ascii="微软雅黑" w:eastAsia="微软雅黑" w:hAnsi="微软雅黑" w:cs="宋体" w:hint="eastAsia"/>
          <w:color w:val="000000"/>
          <w:kern w:val="0"/>
          <w:sz w:val="24"/>
          <w:szCs w:val="24"/>
        </w:rPr>
        <w:br/>
        <w:t>工业和信息化部</w:t>
      </w:r>
      <w:r w:rsidRPr="00CF5F14">
        <w:rPr>
          <w:rFonts w:ascii="微软雅黑" w:eastAsia="微软雅黑" w:hAnsi="微软雅黑" w:cs="宋体" w:hint="eastAsia"/>
          <w:color w:val="000000"/>
          <w:kern w:val="0"/>
          <w:sz w:val="24"/>
          <w:szCs w:val="24"/>
        </w:rPr>
        <w:br/>
        <w:t>民政部</w:t>
      </w:r>
      <w:r w:rsidRPr="00CF5F14">
        <w:rPr>
          <w:rFonts w:ascii="微软雅黑" w:eastAsia="微软雅黑" w:hAnsi="微软雅黑" w:cs="宋体" w:hint="eastAsia"/>
          <w:color w:val="000000"/>
          <w:kern w:val="0"/>
          <w:sz w:val="24"/>
          <w:szCs w:val="24"/>
        </w:rPr>
        <w:br/>
        <w:t>生态环境部</w:t>
      </w:r>
      <w:r w:rsidRPr="00CF5F14">
        <w:rPr>
          <w:rFonts w:ascii="微软雅黑" w:eastAsia="微软雅黑" w:hAnsi="微软雅黑" w:cs="宋体" w:hint="eastAsia"/>
          <w:color w:val="000000"/>
          <w:kern w:val="0"/>
          <w:sz w:val="24"/>
          <w:szCs w:val="24"/>
        </w:rPr>
        <w:br/>
        <w:t>交通运输部</w:t>
      </w:r>
      <w:r w:rsidRPr="00CF5F14">
        <w:rPr>
          <w:rFonts w:ascii="微软雅黑" w:eastAsia="微软雅黑" w:hAnsi="微软雅黑" w:cs="宋体" w:hint="eastAsia"/>
          <w:color w:val="000000"/>
          <w:kern w:val="0"/>
          <w:sz w:val="24"/>
          <w:szCs w:val="24"/>
        </w:rPr>
        <w:br/>
        <w:t>水利部</w:t>
      </w:r>
      <w:r w:rsidRPr="00CF5F14">
        <w:rPr>
          <w:rFonts w:ascii="微软雅黑" w:eastAsia="微软雅黑" w:hAnsi="微软雅黑" w:cs="宋体" w:hint="eastAsia"/>
          <w:color w:val="000000"/>
          <w:kern w:val="0"/>
          <w:sz w:val="24"/>
          <w:szCs w:val="24"/>
        </w:rPr>
        <w:br/>
        <w:t>文化和旅游部</w:t>
      </w:r>
      <w:r w:rsidRPr="00CF5F14">
        <w:rPr>
          <w:rFonts w:ascii="微软雅黑" w:eastAsia="微软雅黑" w:hAnsi="微软雅黑" w:cs="宋体" w:hint="eastAsia"/>
          <w:color w:val="000000"/>
          <w:kern w:val="0"/>
          <w:sz w:val="24"/>
          <w:szCs w:val="24"/>
        </w:rPr>
        <w:br/>
        <w:t>应急部</w:t>
      </w:r>
      <w:r w:rsidRPr="00CF5F14">
        <w:rPr>
          <w:rFonts w:ascii="微软雅黑" w:eastAsia="微软雅黑" w:hAnsi="微软雅黑" w:cs="宋体" w:hint="eastAsia"/>
          <w:color w:val="000000"/>
          <w:kern w:val="0"/>
          <w:sz w:val="24"/>
          <w:szCs w:val="24"/>
        </w:rPr>
        <w:br/>
        <w:t>市场监管总局</w:t>
      </w:r>
      <w:r w:rsidRPr="00CF5F14">
        <w:rPr>
          <w:rFonts w:ascii="微软雅黑" w:eastAsia="微软雅黑" w:hAnsi="微软雅黑" w:cs="宋体" w:hint="eastAsia"/>
          <w:color w:val="000000"/>
          <w:kern w:val="0"/>
          <w:sz w:val="24"/>
          <w:szCs w:val="24"/>
        </w:rPr>
        <w:br/>
        <w:t>体育总局</w:t>
      </w:r>
      <w:r w:rsidRPr="00CF5F14">
        <w:rPr>
          <w:rFonts w:ascii="微软雅黑" w:eastAsia="微软雅黑" w:hAnsi="微软雅黑" w:cs="宋体" w:hint="eastAsia"/>
          <w:color w:val="000000"/>
          <w:kern w:val="0"/>
          <w:sz w:val="24"/>
          <w:szCs w:val="24"/>
        </w:rPr>
        <w:br/>
        <w:t>能源局</w:t>
      </w:r>
      <w:r w:rsidRPr="00CF5F14">
        <w:rPr>
          <w:rFonts w:ascii="微软雅黑" w:eastAsia="微软雅黑" w:hAnsi="微软雅黑" w:cs="宋体" w:hint="eastAsia"/>
          <w:color w:val="000000"/>
          <w:kern w:val="0"/>
          <w:sz w:val="24"/>
          <w:szCs w:val="24"/>
        </w:rPr>
        <w:br/>
      </w:r>
      <w:r w:rsidRPr="00CF5F14">
        <w:rPr>
          <w:rFonts w:ascii="微软雅黑" w:eastAsia="微软雅黑" w:hAnsi="微软雅黑" w:cs="宋体" w:hint="eastAsia"/>
          <w:color w:val="000000"/>
          <w:kern w:val="0"/>
          <w:sz w:val="24"/>
          <w:szCs w:val="24"/>
        </w:rPr>
        <w:lastRenderedPageBreak/>
        <w:t>林草局</w:t>
      </w:r>
      <w:r w:rsidRPr="00CF5F14">
        <w:rPr>
          <w:rFonts w:ascii="微软雅黑" w:eastAsia="微软雅黑" w:hAnsi="微软雅黑" w:cs="宋体" w:hint="eastAsia"/>
          <w:color w:val="000000"/>
          <w:kern w:val="0"/>
          <w:sz w:val="24"/>
          <w:szCs w:val="24"/>
        </w:rPr>
        <w:br/>
        <w:t>文物局</w:t>
      </w:r>
      <w:r w:rsidRPr="00CF5F14">
        <w:rPr>
          <w:rFonts w:ascii="微软雅黑" w:eastAsia="微软雅黑" w:hAnsi="微软雅黑" w:cs="宋体" w:hint="eastAsia"/>
          <w:color w:val="000000"/>
          <w:kern w:val="0"/>
          <w:sz w:val="24"/>
          <w:szCs w:val="24"/>
        </w:rPr>
        <w:br/>
        <w:t>乡村振兴局</w:t>
      </w:r>
      <w:r w:rsidRPr="00CF5F14">
        <w:rPr>
          <w:rFonts w:ascii="微软雅黑" w:eastAsia="微软雅黑" w:hAnsi="微软雅黑" w:cs="宋体" w:hint="eastAsia"/>
          <w:color w:val="000000"/>
          <w:kern w:val="0"/>
          <w:sz w:val="24"/>
          <w:szCs w:val="24"/>
        </w:rPr>
        <w:br/>
        <w:t>2021年5月25日</w:t>
      </w:r>
      <w:r w:rsidRPr="00CF5F14">
        <w:rPr>
          <w:rFonts w:ascii="微软雅黑" w:eastAsia="微软雅黑" w:hAnsi="微软雅黑" w:cs="宋体" w:hint="eastAsia"/>
          <w:color w:val="000000"/>
          <w:kern w:val="0"/>
          <w:sz w:val="24"/>
          <w:szCs w:val="24"/>
        </w:rPr>
        <w:br/>
        <w:t>（此件公开发布）</w:t>
      </w:r>
    </w:p>
    <w:p w:rsidR="004E34FD" w:rsidRDefault="004E34FD"/>
    <w:sectPr w:rsidR="004E34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14"/>
    <w:rsid w:val="004E34FD"/>
    <w:rsid w:val="00CF5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F5F1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5F14"/>
    <w:rPr>
      <w:rFonts w:ascii="宋体" w:eastAsia="宋体" w:hAnsi="宋体" w:cs="宋体"/>
      <w:b/>
      <w:bCs/>
      <w:kern w:val="0"/>
      <w:sz w:val="36"/>
      <w:szCs w:val="36"/>
    </w:rPr>
  </w:style>
  <w:style w:type="character" w:styleId="a3">
    <w:name w:val="Hyperlink"/>
    <w:basedOn w:val="a0"/>
    <w:uiPriority w:val="99"/>
    <w:semiHidden/>
    <w:unhideWhenUsed/>
    <w:rsid w:val="00CF5F14"/>
    <w:rPr>
      <w:color w:val="0000FF"/>
      <w:u w:val="single"/>
    </w:rPr>
  </w:style>
  <w:style w:type="character" w:customStyle="1" w:styleId="bsharecount">
    <w:name w:val="bshare_count"/>
    <w:basedOn w:val="a0"/>
    <w:rsid w:val="00CF5F14"/>
  </w:style>
  <w:style w:type="paragraph" w:styleId="a4">
    <w:name w:val="Normal (Web)"/>
    <w:basedOn w:val="a"/>
    <w:uiPriority w:val="99"/>
    <w:semiHidden/>
    <w:unhideWhenUsed/>
    <w:rsid w:val="00CF5F1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F5F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F5F1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5F14"/>
    <w:rPr>
      <w:rFonts w:ascii="宋体" w:eastAsia="宋体" w:hAnsi="宋体" w:cs="宋体"/>
      <w:b/>
      <w:bCs/>
      <w:kern w:val="0"/>
      <w:sz w:val="36"/>
      <w:szCs w:val="36"/>
    </w:rPr>
  </w:style>
  <w:style w:type="character" w:styleId="a3">
    <w:name w:val="Hyperlink"/>
    <w:basedOn w:val="a0"/>
    <w:uiPriority w:val="99"/>
    <w:semiHidden/>
    <w:unhideWhenUsed/>
    <w:rsid w:val="00CF5F14"/>
    <w:rPr>
      <w:color w:val="0000FF"/>
      <w:u w:val="single"/>
    </w:rPr>
  </w:style>
  <w:style w:type="character" w:customStyle="1" w:styleId="bsharecount">
    <w:name w:val="bshare_count"/>
    <w:basedOn w:val="a0"/>
    <w:rsid w:val="00CF5F14"/>
  </w:style>
  <w:style w:type="paragraph" w:styleId="a4">
    <w:name w:val="Normal (Web)"/>
    <w:basedOn w:val="a"/>
    <w:uiPriority w:val="99"/>
    <w:semiHidden/>
    <w:unhideWhenUsed/>
    <w:rsid w:val="00CF5F1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F5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0236">
      <w:bodyDiv w:val="1"/>
      <w:marLeft w:val="0"/>
      <w:marRight w:val="0"/>
      <w:marTop w:val="0"/>
      <w:marBottom w:val="0"/>
      <w:divBdr>
        <w:top w:val="none" w:sz="0" w:space="0" w:color="auto"/>
        <w:left w:val="none" w:sz="0" w:space="0" w:color="auto"/>
        <w:bottom w:val="none" w:sz="0" w:space="0" w:color="auto"/>
        <w:right w:val="none" w:sz="0" w:space="0" w:color="auto"/>
      </w:divBdr>
      <w:divsChild>
        <w:div w:id="257754025">
          <w:marLeft w:val="0"/>
          <w:marRight w:val="0"/>
          <w:marTop w:val="0"/>
          <w:marBottom w:val="0"/>
          <w:divBdr>
            <w:top w:val="none" w:sz="0" w:space="0" w:color="auto"/>
            <w:left w:val="none" w:sz="0" w:space="0" w:color="auto"/>
            <w:bottom w:val="single" w:sz="6" w:space="15" w:color="E6E6E6"/>
            <w:right w:val="none" w:sz="0" w:space="0" w:color="auto"/>
          </w:divBdr>
          <w:divsChild>
            <w:div w:id="2062440418">
              <w:marLeft w:val="0"/>
              <w:marRight w:val="0"/>
              <w:marTop w:val="0"/>
              <w:marBottom w:val="0"/>
              <w:divBdr>
                <w:top w:val="none" w:sz="0" w:space="0" w:color="auto"/>
                <w:left w:val="none" w:sz="0" w:space="0" w:color="auto"/>
                <w:bottom w:val="none" w:sz="0" w:space="0" w:color="auto"/>
                <w:right w:val="none" w:sz="0" w:space="0" w:color="auto"/>
              </w:divBdr>
              <w:divsChild>
                <w:div w:id="163479359">
                  <w:marLeft w:val="0"/>
                  <w:marRight w:val="0"/>
                  <w:marTop w:val="0"/>
                  <w:marBottom w:val="0"/>
                  <w:divBdr>
                    <w:top w:val="none" w:sz="0" w:space="0" w:color="auto"/>
                    <w:left w:val="none" w:sz="0" w:space="0" w:color="auto"/>
                    <w:bottom w:val="none" w:sz="0" w:space="0" w:color="auto"/>
                    <w:right w:val="none" w:sz="0" w:space="0" w:color="auto"/>
                  </w:divBdr>
                </w:div>
                <w:div w:id="1526865121">
                  <w:marLeft w:val="0"/>
                  <w:marRight w:val="0"/>
                  <w:marTop w:val="0"/>
                  <w:marBottom w:val="0"/>
                  <w:divBdr>
                    <w:top w:val="none" w:sz="0" w:space="0" w:color="auto"/>
                    <w:left w:val="none" w:sz="0" w:space="0" w:color="auto"/>
                    <w:bottom w:val="none" w:sz="0" w:space="0" w:color="auto"/>
                    <w:right w:val="none" w:sz="0" w:space="0" w:color="auto"/>
                  </w:divBdr>
                  <w:divsChild>
                    <w:div w:id="8134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hurd.gov.cn/wjfb/202106/t20210608_250403.html" TargetMode="External"/><Relationship Id="rId5" Type="http://schemas.openxmlformats.org/officeDocument/2006/relationships/hyperlink" Target="http://www.chinaluj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606</Words>
  <Characters>3455</Characters>
  <Application>Microsoft Office Word</Application>
  <DocSecurity>0</DocSecurity>
  <Lines>28</Lines>
  <Paragraphs>8</Paragraphs>
  <ScaleCrop>false</ScaleCrop>
  <Company>MS</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2021-06-10T02:13:00Z</dcterms:created>
  <dcterms:modified xsi:type="dcterms:W3CDTF">2021-06-10T02:14:00Z</dcterms:modified>
</cp:coreProperties>
</file>